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jakk10q063026.htm"/>
      <w:bookmarkStart w:id="1" w:name="ksjakk10q063026"/>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to </w:t>
      </w:r>
      <w:r>
        <w:rPr>
          <w:rFonts w:ascii="Times New Roman;Times;Serif" w:hAnsi="Times New Roman;Times;Serif"/>
          <w:b w:val="false"/>
          <w:i w:val="false"/>
          <w:caps w:val="false"/>
          <w:smallCaps w:val="false"/>
          <w:sz w:val="20"/>
          <w:u w:val="single"/>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001-35448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JAKKS Pacific,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28" w:type="dxa"/>
          <w:right w:w="0" w:type="dxa"/>
        </w:tblCellMar>
      </w:tblPr>
      <w:tblGrid>
        <w:gridCol w:w="2555"/>
        <w:gridCol w:w="90"/>
        <w:gridCol w:w="1595"/>
      </w:tblGrid>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95-4527222</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705" w:type="dxa"/>
        <w:jc w:val="left"/>
        <w:tblInd w:w="0" w:type="dxa"/>
        <w:tblLayout w:type="fixed"/>
        <w:tblCellMar>
          <w:top w:w="0" w:type="dxa"/>
          <w:left w:w="0" w:type="dxa"/>
          <w:bottom w:w="28" w:type="dxa"/>
          <w:right w:w="0" w:type="dxa"/>
        </w:tblCellMar>
      </w:tblPr>
      <w:tblGrid>
        <w:gridCol w:w="3635"/>
        <w:gridCol w:w="90"/>
        <w:gridCol w:w="980"/>
      </w:tblGrid>
      <w:tr>
        <w:trPr/>
        <w:tc>
          <w:tcPr>
            <w:tcW w:w="36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2951 28th Street Santa Monica, California</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90405</w:t>
            </w:r>
          </w:p>
        </w:tc>
      </w:tr>
      <w:tr>
        <w:trPr/>
        <w:tc>
          <w:tcPr>
            <w:tcW w:w="36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(424) 268-9444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“non-accelerated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135" w:type="dxa"/>
        <w:jc w:val="left"/>
        <w:tblInd w:w="0" w:type="dxa"/>
        <w:tblLayout w:type="fixed"/>
        <w:tblCellMar>
          <w:top w:w="0" w:type="dxa"/>
          <w:left w:w="0" w:type="dxa"/>
          <w:bottom w:w="0" w:type="dxa"/>
          <w:right w:w="0" w:type="dxa"/>
        </w:tblCellMar>
      </w:tblPr>
      <w:tblGrid>
        <w:gridCol w:w="2270"/>
        <w:gridCol w:w="260"/>
        <w:gridCol w:w="2300"/>
        <w:gridCol w:w="305"/>
      </w:tblGrid>
      <w:tr>
        <w:trPr/>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Large accelerated filer </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Accelerated filer </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left"/>
        <w:rPr>
          <w:caps w:val="false"/>
          <w:smallCaps w:val="false"/>
        </w:rPr>
      </w:pPr>
      <w:r>
        <w:rPr>
          <w:caps w:val="false"/>
          <w:smallCaps w:val="false"/>
        </w:rPr>
        <w:t> </w:t>
      </w:r>
    </w:p>
    <w:tbl>
      <w:tblPr>
        <w:tblW w:w="8250" w:type="dxa"/>
        <w:jc w:val="left"/>
        <w:tblInd w:w="0" w:type="dxa"/>
        <w:tblLayout w:type="fixed"/>
        <w:tblCellMar>
          <w:top w:w="0" w:type="dxa"/>
          <w:left w:w="0" w:type="dxa"/>
          <w:bottom w:w="28" w:type="dxa"/>
          <w:right w:w="0" w:type="dxa"/>
        </w:tblCellMar>
      </w:tblPr>
      <w:tblGrid>
        <w:gridCol w:w="2660"/>
        <w:gridCol w:w="90"/>
        <w:gridCol w:w="1640"/>
        <w:gridCol w:w="90"/>
        <w:gridCol w:w="3770"/>
      </w:tblGrid>
      <w:tr>
        <w:trPr/>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JAKK</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of the issuer’s common stock is 11,445,012 as of July 31, 2026.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TABLE OF CONTENTS TO QUARTERLY REPORT ON 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 JUNE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IN FORM 10-Q</w:t>
      </w:r>
    </w:p>
    <w:p>
      <w:pPr>
        <w:pStyle w:val="TextBody"/>
        <w:bidi w:val="0"/>
        <w:spacing w:before="0" w:after="0"/>
        <w:jc w:val="center"/>
        <w:rPr>
          <w:caps w:val="false"/>
          <w:smallCaps w:val="false"/>
        </w:rPr>
      </w:pPr>
      <w:r>
        <w:rPr>
          <w:caps w:val="false"/>
          <w:smallCaps w:val="false"/>
        </w:rPr>
        <w:t> </w:t>
      </w:r>
    </w:p>
    <w:tbl>
      <w:tblPr>
        <w:tblW w:w="8685" w:type="dxa"/>
        <w:jc w:val="left"/>
        <w:tblInd w:w="0" w:type="dxa"/>
        <w:tblLayout w:type="fixed"/>
        <w:tblCellMar>
          <w:top w:w="0" w:type="dxa"/>
          <w:left w:w="0" w:type="dxa"/>
          <w:bottom w:w="0" w:type="dxa"/>
          <w:right w:w="0" w:type="dxa"/>
        </w:tblCellMar>
      </w:tblPr>
      <w:tblGrid>
        <w:gridCol w:w="755"/>
        <w:gridCol w:w="7310"/>
        <w:gridCol w:w="90"/>
        <w:gridCol w:w="530"/>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tc>
        <w:tc>
          <w:tcPr>
            <w:tcW w:w="7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310" w:type="dxa"/>
            <w:tcBorders/>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Financial Statements (Unaudited)</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Condensed Consolidated Balance Sheets</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Statements of Operations and Comprehensive Income (Loss)</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Stockholders’ Equity</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Cash Flows</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310" w:type="dxa"/>
            <w:tcBorders/>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310" w:type="dxa"/>
            <w:tcBorders/>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310" w:type="dxa"/>
            <w:tcBorders/>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Controls and Procedures</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tc>
        <w:tc>
          <w:tcPr>
            <w:tcW w:w="7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310" w:type="dxa"/>
            <w:tcBorders/>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Legal Proceedings</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310" w:type="dxa"/>
            <w:tcBorders/>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Risk Factors</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Unregistered Sales of Equity Securities and Use of Proceeds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Upon Senior Securities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 Safety Disclosures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310" w:type="dxa"/>
            <w:tcBorders/>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Exhibits</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65" w:type="dxa"/>
            <w:gridSpan w:val="2"/>
            <w:tcBorders/>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Signatures</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8065" w:type="dxa"/>
            <w:gridSpan w:val="2"/>
            <w:tcBorders/>
            <w:vAlign w:val="center"/>
          </w:tcPr>
          <w:p>
            <w:pPr>
              <w:pStyle w:val="TableContents"/>
              <w:bidi w:val="0"/>
              <w:spacing w:before="0" w:after="283"/>
              <w:jc w:val="left"/>
              <w:rPr/>
            </w:pPr>
            <w:hyperlink w:anchor="jakkex31-1.htm">
              <w:r>
                <w:rPr>
                  <w:rStyle w:val="InternetLink"/>
                  <w:rFonts w:ascii="Times New Roman;Times;Serif" w:hAnsi="Times New Roman;Times;Serif"/>
                  <w:b w:val="false"/>
                  <w:i w:val="false"/>
                  <w:caps w:val="false"/>
                  <w:smallCaps w:val="false"/>
                  <w:sz w:val="20"/>
                </w:rPr>
                <w:t>Exhibit 31.1</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65" w:type="dxa"/>
            <w:gridSpan w:val="2"/>
            <w:tcBorders/>
            <w:vAlign w:val="center"/>
          </w:tcPr>
          <w:p>
            <w:pPr>
              <w:pStyle w:val="TableContents"/>
              <w:bidi w:val="0"/>
              <w:spacing w:before="0" w:after="283"/>
              <w:jc w:val="left"/>
              <w:rPr/>
            </w:pPr>
            <w:hyperlink w:anchor="jakkex31-2.htm">
              <w:r>
                <w:rPr>
                  <w:rStyle w:val="InternetLink"/>
                  <w:rFonts w:ascii="Times New Roman;Times;Serif" w:hAnsi="Times New Roman;Times;Serif"/>
                  <w:b w:val="false"/>
                  <w:i w:val="false"/>
                  <w:caps w:val="false"/>
                  <w:smallCaps w:val="false"/>
                  <w:sz w:val="20"/>
                </w:rPr>
                <w:t>Exhibit 31.2</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65" w:type="dxa"/>
            <w:gridSpan w:val="2"/>
            <w:tcBorders/>
            <w:vAlign w:val="center"/>
          </w:tcPr>
          <w:p>
            <w:pPr>
              <w:pStyle w:val="TableContents"/>
              <w:bidi w:val="0"/>
              <w:spacing w:before="0" w:after="283"/>
              <w:jc w:val="left"/>
              <w:rPr/>
            </w:pPr>
            <w:hyperlink w:anchor="jakkex32-1.htm">
              <w:r>
                <w:rPr>
                  <w:rStyle w:val="InternetLink"/>
                  <w:rFonts w:ascii="Times New Roman;Times;Serif" w:hAnsi="Times New Roman;Times;Serif"/>
                  <w:b w:val="false"/>
                  <w:i w:val="false"/>
                  <w:caps w:val="false"/>
                  <w:smallCaps w:val="false"/>
                  <w:sz w:val="20"/>
                </w:rPr>
                <w:t>Exhibit 32.1</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65" w:type="dxa"/>
            <w:gridSpan w:val="2"/>
            <w:tcBorders/>
            <w:vAlign w:val="center"/>
          </w:tcPr>
          <w:p>
            <w:pPr>
              <w:pStyle w:val="TableContents"/>
              <w:bidi w:val="0"/>
              <w:spacing w:before="0" w:after="283"/>
              <w:jc w:val="left"/>
              <w:rPr/>
            </w:pPr>
            <w:hyperlink w:anchor="jakkex32-2.htm">
              <w:r>
                <w:rPr>
                  <w:rStyle w:val="InternetLink"/>
                  <w:rFonts w:ascii="Times New Roman;Times;Serif" w:hAnsi="Times New Roman;Times;Serif"/>
                  <w:b w:val="false"/>
                  <w:i w:val="false"/>
                  <w:caps w:val="false"/>
                  <w:smallCaps w:val="false"/>
                  <w:sz w:val="20"/>
                </w:rPr>
                <w:t>Exhibit 32.2</w:t>
              </w:r>
            </w:hyperlink>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 I</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Item 1.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JAKKS PACIFIC,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4"/>
        <w:gridCol w:w="90"/>
        <w:gridCol w:w="208"/>
        <w:gridCol w:w="1023"/>
        <w:gridCol w:w="125"/>
        <w:gridCol w:w="90"/>
        <w:gridCol w:w="238"/>
        <w:gridCol w:w="1167"/>
        <w:gridCol w:w="150"/>
      </w:tblGrid>
      <w:tr>
        <w:trPr/>
        <w:tc>
          <w:tcPr>
            <w:tcW w:w="7114"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231"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b/>
              </w:rPr>
            </w:pPr>
            <w:r>
              <w:rPr>
                <w:b/>
              </w:rPr>
              <w:t>December 31,</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1" w:type="dxa"/>
            <w:gridSpan w:val="2"/>
            <w:tcBorders/>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5" w:type="dxa"/>
            <w:gridSpan w:val="2"/>
            <w:tcBorders/>
            <w:vAlign w:val="center"/>
          </w:tcPr>
          <w:p>
            <w:pPr>
              <w:pStyle w:val="TableContents"/>
              <w:bidi w:val="0"/>
              <w:spacing w:before="0" w:after="283"/>
              <w:jc w:val="center"/>
              <w:rPr/>
            </w:pPr>
            <w:r>
              <w:rPr/>
              <w:t> </w:t>
            </w:r>
          </w:p>
        </w:tc>
        <w:tc>
          <w:tcPr>
            <w:tcW w:w="150" w:type="dxa"/>
            <w:tcBorders/>
            <w:vAlign w:val="center"/>
          </w:tcPr>
          <w:p>
            <w:pPr>
              <w:pStyle w:val="TableContents"/>
              <w:bidi w:val="0"/>
              <w:spacing w:before="0" w:after="283"/>
              <w:jc w:val="center"/>
              <w:rPr/>
            </w:pPr>
            <w:r>
              <w:rPr/>
              <w:t> </w:t>
            </w:r>
          </w:p>
        </w:tc>
      </w:tr>
      <w:tr>
        <w:trPr/>
        <w:tc>
          <w:tcPr>
            <w:tcW w:w="7114" w:type="dxa"/>
            <w:tcBorders/>
            <w:vAlign w:val="center"/>
          </w:tcPr>
          <w:p>
            <w:pPr>
              <w:pStyle w:val="TableContents"/>
              <w:bidi w:val="0"/>
              <w:spacing w:before="0" w:after="283"/>
              <w:jc w:val="center"/>
              <w:rPr>
                <w:b/>
              </w:rPr>
            </w:pPr>
            <w:r>
              <w:rPr>
                <w:b/>
              </w:rPr>
              <w:t>Assets</w:t>
            </w:r>
          </w:p>
        </w:tc>
        <w:tc>
          <w:tcPr>
            <w:tcW w:w="90" w:type="dxa"/>
            <w:tcBorders/>
            <w:vAlign w:val="center"/>
          </w:tcPr>
          <w:p>
            <w:pPr>
              <w:pStyle w:val="TableContents"/>
              <w:bidi w:val="0"/>
              <w:spacing w:before="0" w:after="283"/>
              <w:jc w:val="left"/>
              <w:rPr/>
            </w:pPr>
            <w:r>
              <w:rPr/>
              <w:t> </w:t>
            </w:r>
          </w:p>
        </w:tc>
        <w:tc>
          <w:tcPr>
            <w:tcW w:w="1231"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b/>
              </w:rPr>
            </w:pPr>
            <w:r>
              <w:rPr>
                <w:b/>
              </w:rPr>
              <w:t>Current assets</w:t>
            </w:r>
          </w:p>
        </w:tc>
        <w:tc>
          <w:tcPr>
            <w:tcW w:w="90" w:type="dxa"/>
            <w:tcBorders/>
            <w:vAlign w:val="center"/>
          </w:tcPr>
          <w:p>
            <w:pPr>
              <w:pStyle w:val="TableContents"/>
              <w:bidi w:val="0"/>
              <w:spacing w:before="0" w:after="283"/>
              <w:jc w:val="left"/>
              <w:rPr/>
            </w:pPr>
            <w:r>
              <w:rPr/>
              <w:t> </w:t>
            </w:r>
          </w:p>
        </w:tc>
        <w:tc>
          <w:tcPr>
            <w:tcW w:w="1231"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59,513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167" w:type="dxa"/>
            <w:tcBorders/>
            <w:shd w:fill="CCEEFF" w:val="clear"/>
            <w:vAlign w:val="center"/>
          </w:tcPr>
          <w:p>
            <w:pPr>
              <w:pStyle w:val="TableContents"/>
              <w:bidi w:val="0"/>
              <w:spacing w:before="0" w:after="283"/>
              <w:jc w:val="right"/>
              <w:rPr/>
            </w:pPr>
            <w:r>
              <w:rPr/>
              <w:t>52,197</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1,132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1,869</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Accounts receivable, net of allowance for credit losses of $5,100 and $5,103 at June 30, 2026 and December 31, 2025, respectively</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141,272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138,341</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Inventory, net</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58,272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59,805</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Prepaid expenses and other assets</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pPr>
            <w:r>
              <w:rPr/>
              <w:t>17,899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shd w:fill="CCEEFF" w:val="clear"/>
            <w:tcMar>
              <w:bottom w:w="28" w:type="dxa"/>
            </w:tcMar>
            <w:vAlign w:val="center"/>
          </w:tcPr>
          <w:p>
            <w:pPr>
              <w:pStyle w:val="TableContents"/>
              <w:bidi w:val="0"/>
              <w:spacing w:before="0" w:after="283"/>
              <w:jc w:val="right"/>
              <w:rPr/>
            </w:pPr>
            <w:r>
              <w:rPr/>
              <w:t>16,873</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278,088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269,085</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b/>
              </w:rPr>
            </w:pPr>
            <w:r>
              <w:rPr>
                <w:b/>
              </w:rPr>
              <w:t>Property and equipment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Office furniture and equipment</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11,413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10,189</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Molds and tooling</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141,236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134,771</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Leasehold improvements</w:t>
            </w:r>
          </w:p>
        </w:tc>
        <w:tc>
          <w:tcPr>
            <w:tcW w:w="90" w:type="dxa"/>
            <w:tcBorders/>
            <w:vAlign w:val="center"/>
          </w:tcPr>
          <w:p>
            <w:pPr>
              <w:pStyle w:val="TableContents"/>
              <w:bidi w:val="0"/>
              <w:spacing w:before="0" w:after="283"/>
              <w:jc w:val="left"/>
              <w:rPr/>
            </w:pPr>
            <w:r>
              <w:rPr/>
              <w:t> </w:t>
            </w:r>
          </w:p>
        </w:tc>
        <w:tc>
          <w:tcPr>
            <w:tcW w:w="208" w:type="dxa"/>
            <w:tcBorders>
              <w:bottom w:val="single" w:sz="8" w:space="0" w:color="000000"/>
            </w:tcBorders>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tcMar>
              <w:bottom w:w="28" w:type="dxa"/>
            </w:tcMar>
            <w:vAlign w:val="center"/>
          </w:tcPr>
          <w:p>
            <w:pPr>
              <w:pStyle w:val="TableContents"/>
              <w:bidi w:val="0"/>
              <w:spacing w:before="0" w:after="283"/>
              <w:jc w:val="right"/>
              <w:rPr/>
            </w:pPr>
            <w:r>
              <w:rPr/>
              <w:t>7,289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tcMar>
              <w:bottom w:w="28" w:type="dxa"/>
            </w:tcMar>
            <w:vAlign w:val="center"/>
          </w:tcPr>
          <w:p>
            <w:pPr>
              <w:pStyle w:val="TableContents"/>
              <w:bidi w:val="0"/>
              <w:spacing w:before="0" w:after="283"/>
              <w:jc w:val="right"/>
              <w:rPr/>
            </w:pPr>
            <w:r>
              <w:rPr/>
              <w:t>7,264</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159,938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152,224</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Less accumulated depreciation and amortization</w:t>
            </w:r>
          </w:p>
        </w:tc>
        <w:tc>
          <w:tcPr>
            <w:tcW w:w="90" w:type="dxa"/>
            <w:tcBorders/>
            <w:vAlign w:val="center"/>
          </w:tcPr>
          <w:p>
            <w:pPr>
              <w:pStyle w:val="TableContents"/>
              <w:bidi w:val="0"/>
              <w:spacing w:before="0" w:after="283"/>
              <w:jc w:val="left"/>
              <w:rPr/>
            </w:pPr>
            <w:r>
              <w:rPr/>
              <w:t> </w:t>
            </w:r>
          </w:p>
        </w:tc>
        <w:tc>
          <w:tcPr>
            <w:tcW w:w="208" w:type="dxa"/>
            <w:tcBorders>
              <w:bottom w:val="single" w:sz="8" w:space="0" w:color="000000"/>
            </w:tcBorders>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tcMar>
              <w:bottom w:w="28" w:type="dxa"/>
            </w:tcMar>
            <w:vAlign w:val="center"/>
          </w:tcPr>
          <w:p>
            <w:pPr>
              <w:pStyle w:val="TableContents"/>
              <w:bidi w:val="0"/>
              <w:spacing w:before="0" w:after="283"/>
              <w:jc w:val="right"/>
              <w:rPr/>
            </w:pPr>
            <w:r>
              <w:rPr/>
              <w:t>136,725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tcMar>
              <w:bottom w:w="28" w:type="dxa"/>
            </w:tcMar>
            <w:vAlign w:val="center"/>
          </w:tcPr>
          <w:p>
            <w:pPr>
              <w:pStyle w:val="TableContents"/>
              <w:bidi w:val="0"/>
              <w:spacing w:before="0" w:after="283"/>
              <w:jc w:val="right"/>
              <w:rPr/>
            </w:pPr>
            <w:r>
              <w:rPr/>
              <w:t>133,216</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23,213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19,008</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Operating lease right-of-use assets, net</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40,890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46,776</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Other long-term assets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1,751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2,682</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Deferred income tax assets, net</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69,587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69,569</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pPr>
            <w:r>
              <w:rPr/>
              <w:t>34,964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shd w:fill="CCEEFF" w:val="clear"/>
            <w:tcMar>
              <w:bottom w:w="28" w:type="dxa"/>
            </w:tcMar>
            <w:vAlign w:val="center"/>
          </w:tcPr>
          <w:p>
            <w:pPr>
              <w:pStyle w:val="TableContents"/>
              <w:bidi w:val="0"/>
              <w:spacing w:before="0" w:after="283"/>
              <w:jc w:val="right"/>
              <w:rPr/>
            </w:pPr>
            <w:r>
              <w:rPr/>
              <w:t>35,077</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208" w:type="dxa"/>
            <w:tcBorders>
              <w:bottom w:val="double" w:sz="6" w:space="0" w:color="000000"/>
            </w:tcBorders>
            <w:tcMar>
              <w:bottom w:w="28" w:type="dxa"/>
            </w:tcMar>
            <w:vAlign w:val="center"/>
          </w:tcPr>
          <w:p>
            <w:pPr>
              <w:pStyle w:val="TableContents"/>
              <w:bidi w:val="0"/>
              <w:spacing w:before="0" w:after="283"/>
              <w:jc w:val="left"/>
              <w:rPr/>
            </w:pPr>
            <w:r>
              <w:rPr/>
              <w:t>$</w:t>
            </w:r>
          </w:p>
        </w:tc>
        <w:tc>
          <w:tcPr>
            <w:tcW w:w="1023" w:type="dxa"/>
            <w:tcBorders>
              <w:bottom w:val="double" w:sz="6" w:space="0" w:color="000000"/>
            </w:tcBorders>
            <w:tcMar>
              <w:bottom w:w="28" w:type="dxa"/>
            </w:tcMar>
            <w:vAlign w:val="center"/>
          </w:tcPr>
          <w:p>
            <w:pPr>
              <w:pStyle w:val="TableContents"/>
              <w:bidi w:val="0"/>
              <w:spacing w:before="0" w:after="283"/>
              <w:jc w:val="right"/>
              <w:rPr/>
            </w:pPr>
            <w:r>
              <w:rPr/>
              <w:t>448,493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bottom w:val="double" w:sz="6" w:space="0" w:color="000000"/>
            </w:tcBorders>
            <w:tcMar>
              <w:bottom w:w="28" w:type="dxa"/>
            </w:tcMar>
            <w:vAlign w:val="center"/>
          </w:tcPr>
          <w:p>
            <w:pPr>
              <w:pStyle w:val="TableContents"/>
              <w:bidi w:val="0"/>
              <w:spacing w:before="0" w:after="283"/>
              <w:jc w:val="left"/>
              <w:rPr/>
            </w:pPr>
            <w:r>
              <w:rPr/>
              <w:t>$</w:t>
            </w:r>
          </w:p>
        </w:tc>
        <w:tc>
          <w:tcPr>
            <w:tcW w:w="1167" w:type="dxa"/>
            <w:tcBorders>
              <w:bottom w:val="double" w:sz="6" w:space="0" w:color="000000"/>
            </w:tcBorders>
            <w:tcMar>
              <w:bottom w:w="28" w:type="dxa"/>
            </w:tcMar>
            <w:vAlign w:val="center"/>
          </w:tcPr>
          <w:p>
            <w:pPr>
              <w:pStyle w:val="TableContents"/>
              <w:bidi w:val="0"/>
              <w:spacing w:before="0" w:after="283"/>
              <w:jc w:val="right"/>
              <w:rPr/>
            </w:pPr>
            <w:r>
              <w:rPr/>
              <w:t>442,197</w:t>
            </w:r>
          </w:p>
        </w:tc>
        <w:tc>
          <w:tcPr>
            <w:tcW w:w="150" w:type="dxa"/>
            <w:tcBorders/>
            <w:vAlign w:val="center"/>
          </w:tcPr>
          <w:p>
            <w:pPr>
              <w:pStyle w:val="TableContents"/>
              <w:bidi w:val="0"/>
              <w:spacing w:before="0" w:after="283"/>
              <w:jc w:val="left"/>
              <w:rPr/>
            </w:pPr>
            <w:r>
              <w:rPr/>
              <w:t> </w:t>
            </w:r>
          </w:p>
        </w:tc>
      </w:tr>
      <w:tr>
        <w:trPr/>
        <w:tc>
          <w:tcPr>
            <w:tcW w:w="7114" w:type="dxa"/>
            <w:tcBorders/>
            <w:shd w:fill="CCEEFF" w:val="clear"/>
            <w:vAlign w:val="center"/>
          </w:tcPr>
          <w:p>
            <w:pPr>
              <w:pStyle w:val="TableContents"/>
              <w:bidi w:val="0"/>
              <w:spacing w:before="0" w:after="283"/>
              <w:jc w:val="center"/>
              <w:rPr>
                <w:b/>
              </w:rPr>
            </w:pPr>
            <w:r>
              <w:rPr>
                <w:b/>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b/>
              </w:rPr>
            </w:pPr>
            <w:r>
              <w:rPr>
                <w:b/>
              </w:rPr>
              <w:t>Current liabilities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69,737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167" w:type="dxa"/>
            <w:tcBorders/>
            <w:shd w:fill="CCEEFF" w:val="clear"/>
            <w:vAlign w:val="center"/>
          </w:tcPr>
          <w:p>
            <w:pPr>
              <w:pStyle w:val="TableContents"/>
              <w:bidi w:val="0"/>
              <w:spacing w:before="0" w:after="283"/>
              <w:jc w:val="right"/>
              <w:rPr/>
            </w:pPr>
            <w:r>
              <w:rPr/>
              <w:t>55,558</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Accrued expenses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47,145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43,076</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Reserve for sales returns and allowances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30,849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33,569</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Income taxes payable</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2,119</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Short-term operating lease liabilities</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pPr>
            <w:r>
              <w:rPr/>
              <w:t>14,406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shd w:fill="CCEEFF" w:val="clear"/>
            <w:tcMar>
              <w:bottom w:w="28" w:type="dxa"/>
            </w:tcMar>
            <w:vAlign w:val="center"/>
          </w:tcPr>
          <w:p>
            <w:pPr>
              <w:pStyle w:val="TableContents"/>
              <w:bidi w:val="0"/>
              <w:spacing w:before="0" w:after="283"/>
              <w:jc w:val="right"/>
              <w:rPr/>
            </w:pPr>
            <w:r>
              <w:rPr/>
              <w:t>13,784</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162,137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148,106</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Long-term operating lease liabilities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32,218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39,578</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Accrued expenses – long term</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5,288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4,463</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Income taxes payable</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pPr>
            <w:r>
              <w:rPr/>
              <w:t>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shd w:fill="CCEEFF" w:val="clear"/>
            <w:tcMar>
              <w:bottom w:w="28" w:type="dxa"/>
            </w:tcMar>
            <w:vAlign w:val="center"/>
          </w:tcPr>
          <w:p>
            <w:pPr>
              <w:pStyle w:val="TableContents"/>
              <w:bidi w:val="0"/>
              <w:spacing w:before="0" w:after="283"/>
              <w:jc w:val="right"/>
              <w:rPr/>
            </w:pPr>
            <w:r>
              <w:rPr/>
              <w:t>945</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200,618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193,092</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b/>
              </w:rPr>
            </w:pPr>
            <w:r>
              <w:rPr>
                <w:b/>
              </w:rPr>
              <w:t>Stockholders’ Equity</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Common stock, $0.001 par value; 100,000,000 shares authorized; 11,445,012 and 11,342,981 shares issued and outstanding at June 30, 2026 and December 31, 2025, respectively</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11</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307,218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302,408</w:t>
            </w:r>
          </w:p>
        </w:tc>
        <w:tc>
          <w:tcPr>
            <w:tcW w:w="150"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(45,160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(41,021</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7114" w:type="dxa"/>
            <w:tcBorders/>
            <w:vAlign w:val="center"/>
          </w:tcPr>
          <w:p>
            <w:pPr>
              <w:pStyle w:val="TableContents"/>
              <w:bidi w:val="0"/>
              <w:spacing w:before="0" w:after="283"/>
              <w:jc w:val="left"/>
              <w:rPr/>
            </w:pPr>
            <w:r>
              <w:rPr/>
              <w:t>Accumulated other comprehensive loss</w:t>
            </w:r>
          </w:p>
        </w:tc>
        <w:tc>
          <w:tcPr>
            <w:tcW w:w="90" w:type="dxa"/>
            <w:tcBorders/>
            <w:vAlign w:val="center"/>
          </w:tcPr>
          <w:p>
            <w:pPr>
              <w:pStyle w:val="TableContents"/>
              <w:bidi w:val="0"/>
              <w:spacing w:before="0" w:after="283"/>
              <w:jc w:val="left"/>
              <w:rPr/>
            </w:pPr>
            <w:r>
              <w:rPr/>
              <w:t> </w:t>
            </w:r>
          </w:p>
        </w:tc>
        <w:tc>
          <w:tcPr>
            <w:tcW w:w="208" w:type="dxa"/>
            <w:tcBorders>
              <w:bottom w:val="single" w:sz="8" w:space="0" w:color="000000"/>
            </w:tcBorders>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tcMar>
              <w:bottom w:w="28" w:type="dxa"/>
            </w:tcMar>
            <w:vAlign w:val="center"/>
          </w:tcPr>
          <w:p>
            <w:pPr>
              <w:pStyle w:val="TableContents"/>
              <w:bidi w:val="0"/>
              <w:spacing w:before="0" w:after="283"/>
              <w:jc w:val="right"/>
              <w:rPr/>
            </w:pPr>
            <w:r>
              <w:rPr/>
              <w:t>(14,194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tcMar>
              <w:bottom w:w="28" w:type="dxa"/>
            </w:tcMar>
            <w:vAlign w:val="center"/>
          </w:tcPr>
          <w:p>
            <w:pPr>
              <w:pStyle w:val="TableContents"/>
              <w:bidi w:val="0"/>
              <w:spacing w:before="0" w:after="283"/>
              <w:jc w:val="right"/>
              <w:rPr/>
            </w:pPr>
            <w:r>
              <w:rPr/>
              <w:t>(12,293</w:t>
            </w:r>
          </w:p>
        </w:tc>
        <w:tc>
          <w:tcPr>
            <w:tcW w:w="150" w:type="dxa"/>
            <w:tcBorders/>
            <w:vAlign w:val="center"/>
          </w:tcPr>
          <w:p>
            <w:pPr>
              <w:pStyle w:val="TableContents"/>
              <w:bidi w:val="0"/>
              <w:spacing w:before="0" w:after="283"/>
              <w:ind w:left="0" w:right="0" w:hanging="180"/>
              <w:jc w:val="left"/>
              <w:rPr/>
            </w:pPr>
            <w:r>
              <w:rPr/>
              <w:t>)</w:t>
            </w:r>
          </w:p>
        </w:tc>
      </w:tr>
      <w:tr>
        <w:trPr/>
        <w:tc>
          <w:tcPr>
            <w:tcW w:w="7114" w:type="dxa"/>
            <w:tcBorders/>
            <w:shd w:fill="CCEEFF" w:val="clear"/>
            <w:vAlign w:val="center"/>
          </w:tcPr>
          <w:p>
            <w:pPr>
              <w:pStyle w:val="TableContents"/>
              <w:bidi w:val="0"/>
              <w:spacing w:before="0" w:after="283"/>
              <w:jc w:val="left"/>
              <w:rPr/>
            </w:pPr>
            <w:r>
              <w:rPr/>
              <w:t>Total stockholders’ equity</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pPr>
            <w:r>
              <w:rPr/>
              <w:t>247,875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shd w:fill="CCEEFF" w:val="clear"/>
            <w:tcMar>
              <w:bottom w:w="28" w:type="dxa"/>
            </w:tcMar>
            <w:vAlign w:val="center"/>
          </w:tcPr>
          <w:p>
            <w:pPr>
              <w:pStyle w:val="TableContents"/>
              <w:bidi w:val="0"/>
              <w:spacing w:before="0" w:after="283"/>
              <w:jc w:val="right"/>
              <w:rPr/>
            </w:pPr>
            <w:r>
              <w:rPr/>
              <w:t>249,105</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vAlign w:val="center"/>
          </w:tcPr>
          <w:p>
            <w:pPr>
              <w:pStyle w:val="TableContents"/>
              <w:bidi w:val="0"/>
              <w:spacing w:before="0" w:after="283"/>
              <w:jc w:val="left"/>
              <w:rPr/>
            </w:pPr>
            <w:r>
              <w:rPr/>
              <w:t>Total liabilities and stockholders’ equity</w:t>
            </w:r>
          </w:p>
        </w:tc>
        <w:tc>
          <w:tcPr>
            <w:tcW w:w="90" w:type="dxa"/>
            <w:tcBorders/>
            <w:vAlign w:val="center"/>
          </w:tcPr>
          <w:p>
            <w:pPr>
              <w:pStyle w:val="TableContents"/>
              <w:bidi w:val="0"/>
              <w:spacing w:before="0" w:after="283"/>
              <w:jc w:val="left"/>
              <w:rPr/>
            </w:pPr>
            <w:r>
              <w:rPr/>
              <w:t> </w:t>
            </w:r>
          </w:p>
        </w:tc>
        <w:tc>
          <w:tcPr>
            <w:tcW w:w="208" w:type="dxa"/>
            <w:tcBorders>
              <w:bottom w:val="double" w:sz="6" w:space="0" w:color="000000"/>
            </w:tcBorders>
            <w:tcMar>
              <w:bottom w:w="28" w:type="dxa"/>
            </w:tcMar>
            <w:vAlign w:val="center"/>
          </w:tcPr>
          <w:p>
            <w:pPr>
              <w:pStyle w:val="TableContents"/>
              <w:bidi w:val="0"/>
              <w:spacing w:before="0" w:after="283"/>
              <w:jc w:val="left"/>
              <w:rPr/>
            </w:pPr>
            <w:r>
              <w:rPr/>
              <w:t>$</w:t>
            </w:r>
          </w:p>
        </w:tc>
        <w:tc>
          <w:tcPr>
            <w:tcW w:w="1023" w:type="dxa"/>
            <w:tcBorders>
              <w:bottom w:val="double" w:sz="6" w:space="0" w:color="000000"/>
            </w:tcBorders>
            <w:tcMar>
              <w:bottom w:w="28" w:type="dxa"/>
            </w:tcMar>
            <w:vAlign w:val="center"/>
          </w:tcPr>
          <w:p>
            <w:pPr>
              <w:pStyle w:val="TableContents"/>
              <w:bidi w:val="0"/>
              <w:spacing w:before="0" w:after="283"/>
              <w:jc w:val="right"/>
              <w:rPr/>
            </w:pPr>
            <w:r>
              <w:rPr/>
              <w:t>448,493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bottom w:val="double" w:sz="6" w:space="0" w:color="000000"/>
            </w:tcBorders>
            <w:tcMar>
              <w:bottom w:w="28" w:type="dxa"/>
            </w:tcMar>
            <w:vAlign w:val="center"/>
          </w:tcPr>
          <w:p>
            <w:pPr>
              <w:pStyle w:val="TableContents"/>
              <w:bidi w:val="0"/>
              <w:spacing w:before="0" w:after="283"/>
              <w:jc w:val="left"/>
              <w:rPr/>
            </w:pPr>
            <w:r>
              <w:rPr/>
              <w:t>$</w:t>
            </w:r>
          </w:p>
        </w:tc>
        <w:tc>
          <w:tcPr>
            <w:tcW w:w="1167" w:type="dxa"/>
            <w:tcBorders>
              <w:bottom w:val="double" w:sz="6" w:space="0" w:color="000000"/>
            </w:tcBorders>
            <w:tcMar>
              <w:bottom w:w="28" w:type="dxa"/>
            </w:tcMar>
            <w:vAlign w:val="center"/>
          </w:tcPr>
          <w:p>
            <w:pPr>
              <w:pStyle w:val="TableContents"/>
              <w:bidi w:val="0"/>
              <w:spacing w:before="0" w:after="283"/>
              <w:jc w:val="right"/>
              <w:rPr/>
            </w:pPr>
            <w:r>
              <w:rPr/>
              <w:t>442,197</w:t>
            </w:r>
          </w:p>
        </w:tc>
        <w:tc>
          <w:tcPr>
            <w:tcW w:w="15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JAKKS PACIFIC,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INCOME (LOSS)</w:t>
        <w:br/>
        <w:t>(In thousands, except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31"/>
        <w:gridCol w:w="90"/>
        <w:gridCol w:w="175"/>
        <w:gridCol w:w="856"/>
        <w:gridCol w:w="128"/>
        <w:gridCol w:w="92"/>
        <w:gridCol w:w="175"/>
        <w:gridCol w:w="856"/>
        <w:gridCol w:w="125"/>
        <w:gridCol w:w="90"/>
        <w:gridCol w:w="170"/>
        <w:gridCol w:w="830"/>
        <w:gridCol w:w="125"/>
        <w:gridCol w:w="90"/>
        <w:gridCol w:w="170"/>
        <w:gridCol w:w="830"/>
        <w:gridCol w:w="172"/>
      </w:tblGrid>
      <w:tr>
        <w:trPr/>
        <w:tc>
          <w:tcPr>
            <w:tcW w:w="5231"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2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 xml:space="preserve">June 30, </w:t>
              <w:b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w:t>
              <w:br/>
              <w:t xml:space="preserve">June 30, </w:t>
              <w:br/>
              <w:t>(Unaudited)</w:t>
            </w:r>
          </w:p>
        </w:tc>
        <w:tc>
          <w:tcPr>
            <w:tcW w:w="172" w:type="dxa"/>
            <w:tcBorders/>
            <w:vAlign w:val="center"/>
          </w:tcPr>
          <w:p>
            <w:pPr>
              <w:pStyle w:val="TableContents"/>
              <w:bidi w:val="0"/>
              <w:spacing w:before="0" w:after="283"/>
              <w:ind w:left="0" w:right="0" w:hanging="180"/>
              <w:jc w:val="left"/>
              <w:rPr/>
            </w:pPr>
            <w:r>
              <w:rPr/>
              <w:t> </w:t>
            </w:r>
          </w:p>
        </w:tc>
      </w:tr>
      <w:tr>
        <w:trPr/>
        <w:tc>
          <w:tcPr>
            <w:tcW w:w="52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2" w:type="dxa"/>
            <w:tcBorders/>
            <w:vAlign w:val="center"/>
          </w:tcPr>
          <w:p>
            <w:pPr>
              <w:pStyle w:val="TableContents"/>
              <w:bidi w:val="0"/>
              <w:spacing w:before="0" w:after="283"/>
              <w:ind w:left="0" w:right="0" w:hanging="180"/>
              <w:jc w:val="left"/>
              <w:rPr/>
            </w:pPr>
            <w:r>
              <w:rPr/>
              <w:t> </w:t>
            </w:r>
          </w:p>
        </w:tc>
      </w:tr>
      <w:tr>
        <w:trPr/>
        <w:tc>
          <w:tcPr>
            <w:tcW w:w="5231"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139,238</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119,094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245,914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232,347</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231"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180"/>
              <w:jc w:val="left"/>
              <w:rPr/>
            </w:pPr>
            <w:r>
              <w:rPr/>
              <w:t> </w:t>
            </w:r>
          </w:p>
        </w:tc>
      </w:tr>
      <w:tr>
        <w:trPr/>
        <w:tc>
          <w:tcPr>
            <w:tcW w:w="5231" w:type="dxa"/>
            <w:tcBorders/>
            <w:shd w:fill="CCEEFF" w:val="clear"/>
            <w:vAlign w:val="center"/>
          </w:tcPr>
          <w:p>
            <w:pPr>
              <w:pStyle w:val="TableContents"/>
              <w:bidi w:val="0"/>
              <w:spacing w:before="0" w:after="283"/>
              <w:jc w:val="left"/>
              <w:rPr/>
            </w:pPr>
            <w:r>
              <w:rPr/>
              <w:t>Cost of goods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68,773</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58,784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120,960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113,410</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231" w:type="dxa"/>
            <w:tcBorders/>
            <w:vAlign w:val="center"/>
          </w:tcPr>
          <w:p>
            <w:pPr>
              <w:pStyle w:val="TableContents"/>
              <w:bidi w:val="0"/>
              <w:spacing w:before="0" w:after="283"/>
              <w:jc w:val="left"/>
              <w:rPr/>
            </w:pPr>
            <w:r>
              <w:rPr/>
              <w:t>Royalty expense</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23,072</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19,509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39,985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37,677</w:t>
            </w:r>
          </w:p>
        </w:tc>
        <w:tc>
          <w:tcPr>
            <w:tcW w:w="172" w:type="dxa"/>
            <w:tcBorders/>
            <w:vAlign w:val="center"/>
          </w:tcPr>
          <w:p>
            <w:pPr>
              <w:pStyle w:val="TableContents"/>
              <w:bidi w:val="0"/>
              <w:spacing w:before="0" w:after="283"/>
              <w:ind w:left="0" w:right="0" w:hanging="180"/>
              <w:jc w:val="left"/>
              <w:rPr/>
            </w:pPr>
            <w:r>
              <w:rPr/>
              <w:t> </w:t>
            </w:r>
          </w:p>
        </w:tc>
      </w:tr>
      <w:tr>
        <w:trPr/>
        <w:tc>
          <w:tcPr>
            <w:tcW w:w="5231" w:type="dxa"/>
            <w:tcBorders/>
            <w:shd w:fill="CCEEFF" w:val="clear"/>
            <w:vAlign w:val="center"/>
          </w:tcPr>
          <w:p>
            <w:pPr>
              <w:pStyle w:val="TableContents"/>
              <w:bidi w:val="0"/>
              <w:spacing w:before="0" w:after="283"/>
              <w:jc w:val="left"/>
              <w:rPr/>
            </w:pPr>
            <w:r>
              <w:rPr/>
              <w:t>Amortization of tools and molds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2,432</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1,778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4,402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3,224</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231"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tcMar>
              <w:bottom w:w="28" w:type="dxa"/>
            </w:tcMar>
            <w:vAlign w:val="center"/>
          </w:tcPr>
          <w:p>
            <w:pPr>
              <w:pStyle w:val="TableContents"/>
              <w:bidi w:val="0"/>
              <w:spacing w:before="0" w:after="283"/>
              <w:jc w:val="right"/>
              <w:rPr/>
            </w:pPr>
            <w:r>
              <w:rPr/>
              <w:t>94,277</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tcMar>
              <w:bottom w:w="28" w:type="dxa"/>
            </w:tcMar>
            <w:vAlign w:val="center"/>
          </w:tcPr>
          <w:p>
            <w:pPr>
              <w:pStyle w:val="TableContents"/>
              <w:bidi w:val="0"/>
              <w:spacing w:before="0" w:after="283"/>
              <w:jc w:val="right"/>
              <w:rPr/>
            </w:pPr>
            <w:r>
              <w:rPr/>
              <w:t>80,071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165,347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154,311</w:t>
            </w:r>
          </w:p>
        </w:tc>
        <w:tc>
          <w:tcPr>
            <w:tcW w:w="172" w:type="dxa"/>
            <w:tcBorders/>
            <w:vAlign w:val="center"/>
          </w:tcPr>
          <w:p>
            <w:pPr>
              <w:pStyle w:val="TableContents"/>
              <w:bidi w:val="0"/>
              <w:spacing w:before="0" w:after="283"/>
              <w:ind w:left="0" w:right="0" w:hanging="180"/>
              <w:jc w:val="left"/>
              <w:rPr/>
            </w:pPr>
            <w:r>
              <w:rPr/>
              <w:t> </w:t>
            </w:r>
          </w:p>
        </w:tc>
      </w:tr>
      <w:tr>
        <w:trPr/>
        <w:tc>
          <w:tcPr>
            <w:tcW w:w="5231"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44,961</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39,023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80,567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78,036</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231" w:type="dxa"/>
            <w:tcBorders/>
            <w:vAlign w:val="center"/>
          </w:tcPr>
          <w:p>
            <w:pPr>
              <w:pStyle w:val="TableContents"/>
              <w:bidi w:val="0"/>
              <w:spacing w:before="0" w:after="283"/>
              <w:jc w:val="left"/>
              <w:rPr/>
            </w:pPr>
            <w:r>
              <w:rPr/>
              <w:t>Direct selling expenses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8,500</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6,710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16,664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15,406</w:t>
            </w:r>
          </w:p>
        </w:tc>
        <w:tc>
          <w:tcPr>
            <w:tcW w:w="172" w:type="dxa"/>
            <w:tcBorders/>
            <w:vAlign w:val="center"/>
          </w:tcPr>
          <w:p>
            <w:pPr>
              <w:pStyle w:val="TableContents"/>
              <w:bidi w:val="0"/>
              <w:spacing w:before="0" w:after="283"/>
              <w:ind w:left="0" w:right="0" w:hanging="180"/>
              <w:jc w:val="left"/>
              <w:rPr/>
            </w:pPr>
            <w:r>
              <w:rPr/>
              <w:t> </w:t>
            </w:r>
          </w:p>
        </w:tc>
      </w:tr>
      <w:tr>
        <w:trPr/>
        <w:tc>
          <w:tcPr>
            <w:tcW w:w="5231"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36,442</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34,974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69,306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68,935</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231"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tcMar>
              <w:bottom w:w="28" w:type="dxa"/>
            </w:tcMar>
            <w:vAlign w:val="center"/>
          </w:tcPr>
          <w:p>
            <w:pPr>
              <w:pStyle w:val="TableContents"/>
              <w:bidi w:val="0"/>
              <w:spacing w:before="0" w:after="283"/>
              <w:jc w:val="right"/>
              <w:rPr/>
            </w:pPr>
            <w:r>
              <w:rPr/>
              <w:t>161</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tcMar>
              <w:bottom w:w="28" w:type="dxa"/>
            </w:tcMar>
            <w:vAlign w:val="center"/>
          </w:tcPr>
          <w:p>
            <w:pPr>
              <w:pStyle w:val="TableContents"/>
              <w:bidi w:val="0"/>
              <w:spacing w:before="0" w:after="283"/>
              <w:jc w:val="right"/>
              <w:rPr/>
            </w:pPr>
            <w:r>
              <w:rPr/>
              <w:t>122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235</w:t>
            </w:r>
          </w:p>
        </w:tc>
        <w:tc>
          <w:tcPr>
            <w:tcW w:w="172" w:type="dxa"/>
            <w:tcBorders/>
            <w:vAlign w:val="center"/>
          </w:tcPr>
          <w:p>
            <w:pPr>
              <w:pStyle w:val="TableContents"/>
              <w:bidi w:val="0"/>
              <w:spacing w:before="0" w:after="283"/>
              <w:ind w:left="0" w:right="0" w:hanging="180"/>
              <w:jc w:val="left"/>
              <w:rPr/>
            </w:pPr>
            <w:r>
              <w:rPr/>
              <w:t> </w:t>
            </w:r>
          </w:p>
        </w:tc>
      </w:tr>
      <w:tr>
        <w:trPr/>
        <w:tc>
          <w:tcPr>
            <w:tcW w:w="5231" w:type="dxa"/>
            <w:tcBorders/>
            <w:shd w:fill="CCEEFF" w:val="clear"/>
            <w:vAlign w:val="center"/>
          </w:tcPr>
          <w:p>
            <w:pPr>
              <w:pStyle w:val="TableContents"/>
              <w:bidi w:val="0"/>
              <w:spacing w:before="0" w:after="283"/>
              <w:jc w:val="left"/>
              <w:rPr/>
            </w:pPr>
            <w:r>
              <w:rPr/>
              <w:t>Selling, 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45,103</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41,806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86,283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84,576</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231"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(142</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(2,783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(5,716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(6,540</w:t>
            </w:r>
          </w:p>
        </w:tc>
        <w:tc>
          <w:tcPr>
            <w:tcW w:w="172" w:type="dxa"/>
            <w:tcBorders/>
            <w:vAlign w:val="center"/>
          </w:tcPr>
          <w:p>
            <w:pPr>
              <w:pStyle w:val="TableContents"/>
              <w:bidi w:val="0"/>
              <w:spacing w:before="0" w:after="283"/>
              <w:ind w:left="0" w:right="0" w:hanging="180"/>
              <w:jc w:val="left"/>
              <w:rPr/>
            </w:pPr>
            <w:r>
              <w:rPr/>
              <w:t>)</w:t>
            </w:r>
          </w:p>
        </w:tc>
      </w:tr>
      <w:tr>
        <w:trPr/>
        <w:tc>
          <w:tcPr>
            <w:tcW w:w="5231" w:type="dxa"/>
            <w:tcBorders/>
            <w:shd w:fill="CCEEFF" w:val="clear"/>
            <w:vAlign w:val="center"/>
          </w:tcPr>
          <w:p>
            <w:pPr>
              <w:pStyle w:val="TableContents"/>
              <w:bidi w:val="0"/>
              <w:spacing w:before="0" w:after="283"/>
              <w:jc w:val="left"/>
              <w:rPr/>
            </w:pPr>
            <w:r>
              <w:rPr/>
              <w:t>Other income (expense), net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6,976</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7,001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231" w:type="dxa"/>
            <w:tcBorders/>
            <w:vAlign w:val="center"/>
          </w:tcPr>
          <w:p>
            <w:pPr>
              <w:pStyle w:val="TableContents"/>
              <w:bidi w:val="0"/>
              <w:spacing w:before="0" w:after="283"/>
              <w:jc w:val="left"/>
              <w:rPr/>
            </w:pPr>
            <w:r>
              <w:rPr/>
              <w:t>Loss on debt extinguishment</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(417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(417</w:t>
            </w:r>
          </w:p>
        </w:tc>
        <w:tc>
          <w:tcPr>
            <w:tcW w:w="172" w:type="dxa"/>
            <w:tcBorders/>
            <w:vAlign w:val="center"/>
          </w:tcPr>
          <w:p>
            <w:pPr>
              <w:pStyle w:val="TableContents"/>
              <w:bidi w:val="0"/>
              <w:spacing w:before="0" w:after="283"/>
              <w:ind w:left="0" w:right="0" w:hanging="180"/>
              <w:jc w:val="left"/>
              <w:rPr/>
            </w:pPr>
            <w:r>
              <w:rPr/>
              <w:t>)</w:t>
            </w:r>
          </w:p>
        </w:tc>
      </w:tr>
      <w:tr>
        <w:trPr/>
        <w:tc>
          <w:tcPr>
            <w:tcW w:w="5231"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788</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395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757</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231"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tcMar>
              <w:bottom w:w="28" w:type="dxa"/>
            </w:tcMar>
            <w:vAlign w:val="center"/>
          </w:tcPr>
          <w:p>
            <w:pPr>
              <w:pStyle w:val="TableContents"/>
              <w:bidi w:val="0"/>
              <w:spacing w:before="0" w:after="283"/>
              <w:jc w:val="right"/>
              <w:rPr/>
            </w:pPr>
            <w:r>
              <w:rPr/>
              <w:t>(55</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tcMar>
              <w:bottom w:w="28" w:type="dxa"/>
            </w:tcMar>
            <w:vAlign w:val="center"/>
          </w:tcPr>
          <w:p>
            <w:pPr>
              <w:pStyle w:val="TableContents"/>
              <w:bidi w:val="0"/>
              <w:spacing w:before="0" w:after="283"/>
              <w:jc w:val="right"/>
              <w:rPr/>
            </w:pPr>
            <w:r>
              <w:rPr/>
              <w:t>(145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(300</w:t>
            </w:r>
          </w:p>
        </w:tc>
        <w:tc>
          <w:tcPr>
            <w:tcW w:w="172" w:type="dxa"/>
            <w:tcBorders/>
            <w:vAlign w:val="center"/>
          </w:tcPr>
          <w:p>
            <w:pPr>
              <w:pStyle w:val="TableContents"/>
              <w:bidi w:val="0"/>
              <w:spacing w:before="0" w:after="283"/>
              <w:ind w:left="0" w:right="0" w:hanging="180"/>
              <w:jc w:val="left"/>
              <w:rPr/>
            </w:pPr>
            <w:r>
              <w:rPr/>
              <w:t>)</w:t>
            </w:r>
          </w:p>
        </w:tc>
      </w:tr>
      <w:tr>
        <w:trPr/>
        <w:tc>
          <w:tcPr>
            <w:tcW w:w="5231" w:type="dxa"/>
            <w:tcBorders/>
            <w:shd w:fill="CCEEFF" w:val="clear"/>
            <w:vAlign w:val="center"/>
          </w:tcPr>
          <w:p>
            <w:pPr>
              <w:pStyle w:val="TableContents"/>
              <w:bidi w:val="0"/>
              <w:spacing w:before="0" w:after="283"/>
              <w:jc w:val="left"/>
              <w:rPr/>
            </w:pPr>
            <w:r>
              <w:rPr/>
              <w:t>Income (loss) before provision for (benefit from) income taxes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7,567</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(2,925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2,438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(6,470</w:t>
            </w:r>
          </w:p>
        </w:tc>
        <w:tc>
          <w:tcPr>
            <w:tcW w:w="172" w:type="dxa"/>
            <w:tcBorders/>
            <w:shd w:fill="CCEEFF" w:val="clear"/>
            <w:vAlign w:val="center"/>
          </w:tcPr>
          <w:p>
            <w:pPr>
              <w:pStyle w:val="TableContents"/>
              <w:bidi w:val="0"/>
              <w:spacing w:before="0" w:after="283"/>
              <w:ind w:left="0" w:right="0" w:hanging="180"/>
              <w:jc w:val="left"/>
              <w:rPr/>
            </w:pPr>
            <w:r>
              <w:rPr/>
              <w:t>)</w:t>
            </w:r>
          </w:p>
        </w:tc>
      </w:tr>
      <w:tr>
        <w:trPr/>
        <w:tc>
          <w:tcPr>
            <w:tcW w:w="5231" w:type="dxa"/>
            <w:tcBorders/>
            <w:vAlign w:val="center"/>
          </w:tcPr>
          <w:p>
            <w:pPr>
              <w:pStyle w:val="TableContents"/>
              <w:bidi w:val="0"/>
              <w:spacing w:before="0" w:after="283"/>
              <w:jc w:val="left"/>
              <w:rPr/>
            </w:pPr>
            <w:r>
              <w:rPr/>
              <w:t>Provision for (benefit from) income taxes</w:t>
            </w:r>
          </w:p>
        </w:tc>
        <w:tc>
          <w:tcPr>
            <w:tcW w:w="90"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tcMar>
              <w:bottom w:w="28" w:type="dxa"/>
            </w:tcMar>
            <w:vAlign w:val="center"/>
          </w:tcPr>
          <w:p>
            <w:pPr>
              <w:pStyle w:val="TableContents"/>
              <w:bidi w:val="0"/>
              <w:spacing w:before="0" w:after="283"/>
              <w:jc w:val="right"/>
              <w:rPr/>
            </w:pPr>
            <w:r>
              <w:rPr/>
              <w:t>1,704</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tcMar>
              <w:bottom w:w="28" w:type="dxa"/>
            </w:tcMar>
            <w:vAlign w:val="center"/>
          </w:tcPr>
          <w:p>
            <w:pPr>
              <w:pStyle w:val="TableContents"/>
              <w:bidi w:val="0"/>
              <w:spacing w:before="0" w:after="283"/>
              <w:jc w:val="right"/>
              <w:rPr/>
            </w:pPr>
            <w:r>
              <w:rPr/>
              <w:t>(606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855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(1,769</w:t>
            </w:r>
          </w:p>
        </w:tc>
        <w:tc>
          <w:tcPr>
            <w:tcW w:w="172" w:type="dxa"/>
            <w:tcBorders/>
            <w:vAlign w:val="center"/>
          </w:tcPr>
          <w:p>
            <w:pPr>
              <w:pStyle w:val="TableContents"/>
              <w:bidi w:val="0"/>
              <w:spacing w:before="0" w:after="283"/>
              <w:ind w:left="0" w:right="0" w:hanging="180"/>
              <w:jc w:val="left"/>
              <w:rPr/>
            </w:pPr>
            <w:r>
              <w:rPr/>
              <w:t>)</w:t>
            </w:r>
          </w:p>
        </w:tc>
      </w:tr>
      <w:tr>
        <w:trPr/>
        <w:tc>
          <w:tcPr>
            <w:tcW w:w="5231"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5,863</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(2,319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(4,701</w:t>
            </w:r>
          </w:p>
        </w:tc>
        <w:tc>
          <w:tcPr>
            <w:tcW w:w="172" w:type="dxa"/>
            <w:tcBorders/>
            <w:shd w:fill="CCEEFF" w:val="clear"/>
            <w:vAlign w:val="center"/>
          </w:tcPr>
          <w:p>
            <w:pPr>
              <w:pStyle w:val="TableContents"/>
              <w:bidi w:val="0"/>
              <w:spacing w:before="0" w:after="283"/>
              <w:ind w:left="0" w:right="0" w:hanging="180"/>
              <w:jc w:val="left"/>
              <w:rPr/>
            </w:pPr>
            <w:r>
              <w:rPr/>
              <w:t>)</w:t>
            </w:r>
          </w:p>
        </w:tc>
      </w:tr>
      <w:tr>
        <w:trPr/>
        <w:tc>
          <w:tcPr>
            <w:tcW w:w="5231" w:type="dxa"/>
            <w:tcBorders/>
            <w:vAlign w:val="center"/>
          </w:tcPr>
          <w:p>
            <w:pPr>
              <w:pStyle w:val="TableContents"/>
              <w:bidi w:val="0"/>
              <w:spacing w:before="0" w:after="283"/>
              <w:jc w:val="left"/>
              <w:rPr/>
            </w:pPr>
            <w:r>
              <w:rPr/>
              <w:t>Earnings (loss) per share - basic</w:t>
            </w:r>
          </w:p>
        </w:tc>
        <w:tc>
          <w:tcPr>
            <w:tcW w:w="90" w:type="dxa"/>
            <w:tcBorders/>
            <w:vAlign w:val="center"/>
          </w:tcPr>
          <w:p>
            <w:pPr>
              <w:pStyle w:val="TableContents"/>
              <w:bidi w:val="0"/>
              <w:spacing w:before="0" w:after="283"/>
              <w:jc w:val="left"/>
              <w:rPr/>
            </w:pPr>
            <w:r>
              <w:rPr/>
              <w:t> </w:t>
            </w:r>
          </w:p>
        </w:tc>
        <w:tc>
          <w:tcPr>
            <w:tcW w:w="175" w:type="dxa"/>
            <w:tcBorders>
              <w:bottom w:val="double" w:sz="6" w:space="0" w:color="000000"/>
            </w:tcBorders>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tcMar>
              <w:bottom w:w="28" w:type="dxa"/>
            </w:tcMar>
            <w:vAlign w:val="center"/>
          </w:tcPr>
          <w:p>
            <w:pPr>
              <w:pStyle w:val="TableContents"/>
              <w:bidi w:val="0"/>
              <w:spacing w:before="0" w:after="283"/>
              <w:jc w:val="right"/>
              <w:rPr/>
            </w:pPr>
            <w:r>
              <w:rPr/>
              <w:t>0.51</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double" w:sz="6" w:space="0" w:color="000000"/>
            </w:tcBorders>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tcMar>
              <w:bottom w:w="28" w:type="dxa"/>
            </w:tcMar>
            <w:vAlign w:val="center"/>
          </w:tcPr>
          <w:p>
            <w:pPr>
              <w:pStyle w:val="TableContents"/>
              <w:bidi w:val="0"/>
              <w:spacing w:before="0" w:after="283"/>
              <w:jc w:val="right"/>
              <w:rPr/>
            </w:pPr>
            <w:r>
              <w:rPr/>
              <w:t>(0.21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0.14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(0.42</w:t>
            </w:r>
          </w:p>
        </w:tc>
        <w:tc>
          <w:tcPr>
            <w:tcW w:w="172" w:type="dxa"/>
            <w:tcBorders/>
            <w:vAlign w:val="center"/>
          </w:tcPr>
          <w:p>
            <w:pPr>
              <w:pStyle w:val="TableContents"/>
              <w:bidi w:val="0"/>
              <w:spacing w:before="0" w:after="283"/>
              <w:ind w:left="0" w:right="0" w:hanging="180"/>
              <w:jc w:val="left"/>
              <w:rPr/>
            </w:pPr>
            <w:r>
              <w:rPr/>
              <w:t>)</w:t>
            </w:r>
          </w:p>
        </w:tc>
      </w:tr>
      <w:tr>
        <w:trPr/>
        <w:tc>
          <w:tcPr>
            <w:tcW w:w="5231" w:type="dxa"/>
            <w:tcBorders/>
            <w:shd w:fill="CCEEFF" w:val="clear"/>
            <w:vAlign w:val="center"/>
          </w:tcPr>
          <w:p>
            <w:pPr>
              <w:pStyle w:val="TableContents"/>
              <w:bidi w:val="0"/>
              <w:spacing w:before="0" w:after="283"/>
              <w:jc w:val="left"/>
              <w:rPr/>
            </w:pPr>
            <w:r>
              <w:rPr/>
              <w:t>Shares used in earnings (loss) per share - basic</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pPr>
            <w:r>
              <w:rPr/>
              <w:t>11,445</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pPr>
            <w:r>
              <w:rPr/>
              <w:t>11,146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11,444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11,146</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231" w:type="dxa"/>
            <w:tcBorders/>
            <w:vAlign w:val="center"/>
          </w:tcPr>
          <w:p>
            <w:pPr>
              <w:pStyle w:val="TableContents"/>
              <w:bidi w:val="0"/>
              <w:spacing w:before="0" w:after="283"/>
              <w:jc w:val="left"/>
              <w:rPr/>
            </w:pPr>
            <w:r>
              <w:rPr/>
              <w:t>Earnings (loss) per share - diluted</w:t>
            </w:r>
          </w:p>
        </w:tc>
        <w:tc>
          <w:tcPr>
            <w:tcW w:w="90" w:type="dxa"/>
            <w:tcBorders/>
            <w:vAlign w:val="center"/>
          </w:tcPr>
          <w:p>
            <w:pPr>
              <w:pStyle w:val="TableContents"/>
              <w:bidi w:val="0"/>
              <w:spacing w:before="0" w:after="283"/>
              <w:jc w:val="left"/>
              <w:rPr/>
            </w:pPr>
            <w:r>
              <w:rPr/>
              <w:t> </w:t>
            </w:r>
          </w:p>
        </w:tc>
        <w:tc>
          <w:tcPr>
            <w:tcW w:w="175" w:type="dxa"/>
            <w:tcBorders>
              <w:bottom w:val="double" w:sz="6" w:space="0" w:color="000000"/>
            </w:tcBorders>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tcMar>
              <w:bottom w:w="28" w:type="dxa"/>
            </w:tcMar>
            <w:vAlign w:val="center"/>
          </w:tcPr>
          <w:p>
            <w:pPr>
              <w:pStyle w:val="TableContents"/>
              <w:bidi w:val="0"/>
              <w:spacing w:before="0" w:after="283"/>
              <w:jc w:val="right"/>
              <w:rPr/>
            </w:pPr>
            <w:r>
              <w:rPr/>
              <w:t>0.49</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double" w:sz="6" w:space="0" w:color="000000"/>
            </w:tcBorders>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tcMar>
              <w:bottom w:w="28" w:type="dxa"/>
            </w:tcMar>
            <w:vAlign w:val="center"/>
          </w:tcPr>
          <w:p>
            <w:pPr>
              <w:pStyle w:val="TableContents"/>
              <w:bidi w:val="0"/>
              <w:spacing w:before="0" w:after="283"/>
              <w:jc w:val="right"/>
              <w:rPr/>
            </w:pPr>
            <w:r>
              <w:rPr/>
              <w:t>(0.21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0.13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(0.42</w:t>
            </w:r>
          </w:p>
        </w:tc>
        <w:tc>
          <w:tcPr>
            <w:tcW w:w="172" w:type="dxa"/>
            <w:tcBorders/>
            <w:vAlign w:val="center"/>
          </w:tcPr>
          <w:p>
            <w:pPr>
              <w:pStyle w:val="TableContents"/>
              <w:bidi w:val="0"/>
              <w:spacing w:before="0" w:after="283"/>
              <w:ind w:left="0" w:right="0" w:hanging="180"/>
              <w:jc w:val="left"/>
              <w:rPr/>
            </w:pPr>
            <w:r>
              <w:rPr/>
              <w:t>)</w:t>
            </w:r>
          </w:p>
        </w:tc>
      </w:tr>
      <w:tr>
        <w:trPr/>
        <w:tc>
          <w:tcPr>
            <w:tcW w:w="5231" w:type="dxa"/>
            <w:tcBorders/>
            <w:shd w:fill="CCEEFF" w:val="clear"/>
            <w:vAlign w:val="center"/>
          </w:tcPr>
          <w:p>
            <w:pPr>
              <w:pStyle w:val="TableContents"/>
              <w:bidi w:val="0"/>
              <w:spacing w:before="0" w:after="283"/>
              <w:jc w:val="left"/>
              <w:rPr/>
            </w:pPr>
            <w:r>
              <w:rPr/>
              <w:t>Shares used in earnings (loss) per share - diluted</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pPr>
            <w:r>
              <w:rPr/>
              <w:t>11,872</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pPr>
            <w:r>
              <w:rPr/>
              <w:t>11,146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11,803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11,146</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231" w:type="dxa"/>
            <w:tcBorders/>
            <w:vAlign w:val="center"/>
          </w:tcPr>
          <w:p>
            <w:pPr>
              <w:pStyle w:val="TableContents"/>
              <w:bidi w:val="0"/>
              <w:spacing w:before="0" w:after="283"/>
              <w:jc w:val="left"/>
              <w:rPr/>
            </w:pPr>
            <w:r>
              <w:rPr/>
              <w:t>Comprehensive income (loss)</w:t>
            </w:r>
          </w:p>
        </w:tc>
        <w:tc>
          <w:tcPr>
            <w:tcW w:w="90" w:type="dxa"/>
            <w:tcBorders/>
            <w:vAlign w:val="center"/>
          </w:tcPr>
          <w:p>
            <w:pPr>
              <w:pStyle w:val="TableContents"/>
              <w:bidi w:val="0"/>
              <w:spacing w:before="0" w:after="283"/>
              <w:jc w:val="left"/>
              <w:rPr/>
            </w:pPr>
            <w:r>
              <w:rPr/>
              <w:t> </w:t>
            </w:r>
          </w:p>
        </w:tc>
        <w:tc>
          <w:tcPr>
            <w:tcW w:w="175" w:type="dxa"/>
            <w:tcBorders>
              <w:bottom w:val="double" w:sz="6" w:space="0" w:color="000000"/>
            </w:tcBorders>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tcMar>
              <w:bottom w:w="28" w:type="dxa"/>
            </w:tcMar>
            <w:vAlign w:val="center"/>
          </w:tcPr>
          <w:p>
            <w:pPr>
              <w:pStyle w:val="TableContents"/>
              <w:bidi w:val="0"/>
              <w:spacing w:before="0" w:after="283"/>
              <w:jc w:val="right"/>
              <w:rPr/>
            </w:pPr>
            <w:r>
              <w:rPr/>
              <w:t>5,763</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double" w:sz="6" w:space="0" w:color="000000"/>
            </w:tcBorders>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tcMar>
              <w:bottom w:w="28" w:type="dxa"/>
            </w:tcMar>
            <w:vAlign w:val="center"/>
          </w:tcPr>
          <w:p>
            <w:pPr>
              <w:pStyle w:val="TableContents"/>
              <w:bidi w:val="0"/>
              <w:spacing w:before="0" w:after="283"/>
              <w:jc w:val="right"/>
              <w:rPr/>
            </w:pPr>
            <w:r>
              <w:rPr/>
              <w:t>1,318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(318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(436</w:t>
            </w:r>
          </w:p>
        </w:tc>
        <w:tc>
          <w:tcPr>
            <w:tcW w:w="172" w:type="dxa"/>
            <w:tcBorders/>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JAKKS PACIFIC,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STOCKHOLDERS’ EQUITY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caps w:val="false"/>
          <w:smallCaps w:val="false"/>
        </w:rPr>
      </w:pPr>
      <w:r>
        <w:rPr>
          <w:caps w:val="false"/>
          <w:smallCaps w:val="false"/>
        </w:rPr>
        <w:t> </w:t>
      </w:r>
    </w:p>
    <w:tbl>
      <w:tblPr>
        <w:tblW w:w="11940" w:type="dxa"/>
        <w:jc w:val="left"/>
        <w:tblInd w:w="0" w:type="dxa"/>
        <w:tblLayout w:type="fixed"/>
        <w:tblCellMar>
          <w:top w:w="0" w:type="dxa"/>
          <w:left w:w="0" w:type="dxa"/>
          <w:bottom w:w="0" w:type="dxa"/>
          <w:right w:w="0" w:type="dxa"/>
        </w:tblCellMar>
      </w:tblPr>
      <w:tblGrid>
        <w:gridCol w:w="1370"/>
        <w:gridCol w:w="90"/>
        <w:gridCol w:w="367"/>
        <w:gridCol w:w="628"/>
        <w:gridCol w:w="90"/>
        <w:gridCol w:w="90"/>
        <w:gridCol w:w="192"/>
        <w:gridCol w:w="938"/>
        <w:gridCol w:w="125"/>
        <w:gridCol w:w="90"/>
        <w:gridCol w:w="249"/>
        <w:gridCol w:w="1151"/>
        <w:gridCol w:w="125"/>
        <w:gridCol w:w="90"/>
        <w:gridCol w:w="291"/>
        <w:gridCol w:w="1349"/>
        <w:gridCol w:w="125"/>
        <w:gridCol w:w="90"/>
        <w:gridCol w:w="232"/>
        <w:gridCol w:w="1138"/>
        <w:gridCol w:w="125"/>
        <w:gridCol w:w="90"/>
        <w:gridCol w:w="450"/>
        <w:gridCol w:w="770"/>
        <w:gridCol w:w="90"/>
        <w:gridCol w:w="90"/>
        <w:gridCol w:w="232"/>
        <w:gridCol w:w="1138"/>
        <w:gridCol w:w="135"/>
      </w:tblGrid>
      <w:tr>
        <w:trPr/>
        <w:tc>
          <w:tcPr>
            <w:tcW w:w="11940" w:type="dxa"/>
            <w:gridSpan w:val="29"/>
            <w:tcBorders/>
            <w:vAlign w:val="center"/>
          </w:tcPr>
          <w:p>
            <w:pPr>
              <w:pStyle w:val="TableContents"/>
              <w:bidi w:val="0"/>
              <w:spacing w:before="0" w:after="283"/>
              <w:jc w:val="center"/>
              <w:rPr>
                <w:b/>
              </w:rPr>
            </w:pPr>
            <w:r>
              <w:rPr>
                <w:b/>
              </w:rPr>
              <w:t>Three and Six Months Ended June 30, 2026</w:t>
            </w:r>
          </w:p>
        </w:tc>
      </w:tr>
      <w:tr>
        <w:trPr/>
        <w:tc>
          <w:tcPr>
            <w:tcW w:w="11940" w:type="dxa"/>
            <w:gridSpan w:val="29"/>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(Unaudited)</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JAKKS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Pacific, Inc.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Common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Stockholders’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Controlling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Stockholders’</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 December 31, 2025</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628" w:type="dxa"/>
            <w:tcBorders/>
            <w:shd w:fill="CCEEFF" w:val="cle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302,408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(41,021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349" w:type="dxa"/>
            <w:tcBorders/>
            <w:shd w:fill="CCEEFF" w:val="clear"/>
            <w:vAlign w:val="center"/>
          </w:tcPr>
          <w:p>
            <w:pPr>
              <w:pStyle w:val="TableContents"/>
              <w:bidi w:val="0"/>
              <w:spacing w:before="0" w:after="283"/>
              <w:jc w:val="right"/>
              <w:rPr/>
            </w:pPr>
            <w:r>
              <w:rPr/>
              <w:t>(12,293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249,105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249,105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Share-based compensation expense</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3,081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3,081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3,081</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Repurchase of common stock for employee tax withholding</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(1,260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(1,260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(1,260</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Cash dividend declared, $0.25 per share</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(2,861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(2,861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(2,861</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(4,280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(4,280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(4,280</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367" w:type="dxa"/>
            <w:tcBorders>
              <w:bottom w:val="single" w:sz="8" w:space="0" w:color="000000"/>
            </w:tcBorders>
            <w:tcMar>
              <w:bottom w:w="28" w:type="dxa"/>
            </w:tcMar>
            <w:vAlign w:val="center"/>
          </w:tcPr>
          <w:p>
            <w:pPr>
              <w:pStyle w:val="TableContents"/>
              <w:bidi w:val="0"/>
              <w:spacing w:before="0" w:after="283"/>
              <w:jc w:val="left"/>
              <w:rPr/>
            </w:pPr>
            <w:r>
              <w:rPr/>
              <w:t> </w:t>
            </w:r>
          </w:p>
        </w:tc>
        <w:tc>
          <w:tcPr>
            <w:tcW w:w="628"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8" w:space="0" w:color="000000"/>
            </w:tcBorders>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bottom w:val="single" w:sz="8" w:space="0" w:color="000000"/>
            </w:tcBorders>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bottom w:val="single" w:sz="8" w:space="0" w:color="000000"/>
            </w:tcBorders>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tcMar>
              <w:bottom w:w="28" w:type="dxa"/>
            </w:tcMar>
            <w:vAlign w:val="center"/>
          </w:tcPr>
          <w:p>
            <w:pPr>
              <w:pStyle w:val="TableContents"/>
              <w:bidi w:val="0"/>
              <w:spacing w:before="0" w:after="283"/>
              <w:jc w:val="right"/>
              <w:rPr/>
            </w:pPr>
            <w:r>
              <w:rPr/>
              <w:t>(1,801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tcMar>
              <w:bottom w:w="28" w:type="dxa"/>
            </w:tcMar>
            <w:vAlign w:val="center"/>
          </w:tcPr>
          <w:p>
            <w:pPr>
              <w:pStyle w:val="TableContents"/>
              <w:bidi w:val="0"/>
              <w:spacing w:before="0" w:after="283"/>
              <w:jc w:val="right"/>
              <w:rPr/>
            </w:pPr>
            <w:r>
              <w:rPr/>
              <w:t>(1,801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50" w:type="dxa"/>
            <w:tcBorders>
              <w:bottom w:val="single" w:sz="8" w:space="0" w:color="000000"/>
            </w:tcBorders>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tcMar>
              <w:bottom w:w="28" w:type="dxa"/>
            </w:tcMar>
            <w:vAlign w:val="center"/>
          </w:tcPr>
          <w:p>
            <w:pPr>
              <w:pStyle w:val="TableContents"/>
              <w:bidi w:val="0"/>
              <w:spacing w:before="0" w:after="283"/>
              <w:jc w:val="right"/>
              <w:rPr/>
            </w:pPr>
            <w:r>
              <w:rPr/>
              <w:t>(1,801</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Balance, March 31, 2026</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304,229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(48,162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(14,094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241,984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241,984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Share-based compensation expense</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2,998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2,998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2,998</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Repurchase of common stock for employee tax withholding</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(9</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Cash dividend declared, $0.25 per share</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(2,861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(2,861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(2,861</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5,863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5,863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5,863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367" w:type="dxa"/>
            <w:tcBorders>
              <w:bottom w:val="single" w:sz="8" w:space="0" w:color="000000"/>
            </w:tcBorders>
            <w:tcMar>
              <w:bottom w:w="28" w:type="dxa"/>
            </w:tcMar>
            <w:vAlign w:val="center"/>
          </w:tcPr>
          <w:p>
            <w:pPr>
              <w:pStyle w:val="TableContents"/>
              <w:bidi w:val="0"/>
              <w:spacing w:before="0" w:after="283"/>
              <w:jc w:val="left"/>
              <w:rPr/>
            </w:pPr>
            <w:r>
              <w:rPr/>
              <w:t> </w:t>
            </w:r>
          </w:p>
        </w:tc>
        <w:tc>
          <w:tcPr>
            <w:tcW w:w="628"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8" w:space="0" w:color="000000"/>
            </w:tcBorders>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bottom w:val="single" w:sz="8" w:space="0" w:color="000000"/>
            </w:tcBorders>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bottom w:val="single" w:sz="8" w:space="0" w:color="000000"/>
            </w:tcBorders>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tcMar>
              <w:bottom w:w="28" w:type="dxa"/>
            </w:tcMar>
            <w:vAlign w:val="center"/>
          </w:tcPr>
          <w:p>
            <w:pPr>
              <w:pStyle w:val="TableContents"/>
              <w:bidi w:val="0"/>
              <w:spacing w:before="0" w:after="283"/>
              <w:jc w:val="right"/>
              <w:rPr/>
            </w:pPr>
            <w:r>
              <w:rPr/>
              <w:t>(100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tcMar>
              <w:bottom w:w="28" w:type="dxa"/>
            </w:tcMar>
            <w:vAlign w:val="center"/>
          </w:tcPr>
          <w:p>
            <w:pPr>
              <w:pStyle w:val="TableContents"/>
              <w:bidi w:val="0"/>
              <w:spacing w:before="0" w:after="283"/>
              <w:jc w:val="right"/>
              <w:rPr/>
            </w:pPr>
            <w:r>
              <w:rPr/>
              <w:t>(100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50" w:type="dxa"/>
            <w:tcBorders>
              <w:bottom w:val="single" w:sz="8" w:space="0" w:color="000000"/>
            </w:tcBorders>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tcMar>
              <w:bottom w:w="28" w:type="dxa"/>
            </w:tcMar>
            <w:vAlign w:val="center"/>
          </w:tcPr>
          <w:p>
            <w:pPr>
              <w:pStyle w:val="TableContents"/>
              <w:bidi w:val="0"/>
              <w:spacing w:before="0" w:after="283"/>
              <w:jc w:val="right"/>
              <w:rPr/>
            </w:pPr>
            <w:r>
              <w:rPr/>
              <w:t>(100</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Balance, June 30, 2026</w:t>
            </w:r>
          </w:p>
        </w:tc>
        <w:tc>
          <w:tcPr>
            <w:tcW w:w="90" w:type="dxa"/>
            <w:tcBorders/>
            <w:shd w:fill="CCEEFF" w:val="clear"/>
            <w:vAlign w:val="center"/>
          </w:tcPr>
          <w:p>
            <w:pPr>
              <w:pStyle w:val="TableContents"/>
              <w:bidi w:val="0"/>
              <w:spacing w:before="0" w:after="283"/>
              <w:jc w:val="left"/>
              <w:rPr/>
            </w:pPr>
            <w:r>
              <w:rPr/>
              <w:t> </w:t>
            </w:r>
          </w:p>
        </w:tc>
        <w:tc>
          <w:tcPr>
            <w:tcW w:w="3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pPr>
            <w:r>
              <w:rPr/>
              <w:t>307,218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jc w:val="right"/>
              <w:rPr/>
            </w:pPr>
            <w:r>
              <w:rPr/>
              <w:t>(45,160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9" w:type="dxa"/>
            <w:tcBorders>
              <w:bottom w:val="double" w:sz="6" w:space="0" w:color="000000"/>
            </w:tcBorders>
            <w:shd w:fill="CCEEFF" w:val="clear"/>
            <w:tcMar>
              <w:bottom w:w="28" w:type="dxa"/>
            </w:tcMar>
            <w:vAlign w:val="center"/>
          </w:tcPr>
          <w:p>
            <w:pPr>
              <w:pStyle w:val="TableContents"/>
              <w:bidi w:val="0"/>
              <w:spacing w:before="0" w:after="283"/>
              <w:jc w:val="right"/>
              <w:rPr/>
            </w:pPr>
            <w:r>
              <w:rPr/>
              <w:t>(14,194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247,875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247,875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1940" w:type="dxa"/>
        <w:jc w:val="left"/>
        <w:tblInd w:w="0" w:type="dxa"/>
        <w:tblLayout w:type="fixed"/>
        <w:tblCellMar>
          <w:top w:w="0" w:type="dxa"/>
          <w:left w:w="0" w:type="dxa"/>
          <w:bottom w:w="0" w:type="dxa"/>
          <w:right w:w="0" w:type="dxa"/>
        </w:tblCellMar>
      </w:tblPr>
      <w:tblGrid>
        <w:gridCol w:w="1370"/>
        <w:gridCol w:w="90"/>
        <w:gridCol w:w="367"/>
        <w:gridCol w:w="628"/>
        <w:gridCol w:w="90"/>
        <w:gridCol w:w="90"/>
        <w:gridCol w:w="192"/>
        <w:gridCol w:w="938"/>
        <w:gridCol w:w="125"/>
        <w:gridCol w:w="90"/>
        <w:gridCol w:w="249"/>
        <w:gridCol w:w="1151"/>
        <w:gridCol w:w="125"/>
        <w:gridCol w:w="90"/>
        <w:gridCol w:w="291"/>
        <w:gridCol w:w="1349"/>
        <w:gridCol w:w="125"/>
        <w:gridCol w:w="90"/>
        <w:gridCol w:w="232"/>
        <w:gridCol w:w="1138"/>
        <w:gridCol w:w="125"/>
        <w:gridCol w:w="90"/>
        <w:gridCol w:w="357"/>
        <w:gridCol w:w="863"/>
        <w:gridCol w:w="90"/>
        <w:gridCol w:w="90"/>
        <w:gridCol w:w="232"/>
        <w:gridCol w:w="1138"/>
        <w:gridCol w:w="135"/>
      </w:tblGrid>
      <w:tr>
        <w:trPr/>
        <w:tc>
          <w:tcPr>
            <w:tcW w:w="11940" w:type="dxa"/>
            <w:gridSpan w:val="29"/>
            <w:tcBorders/>
            <w:vAlign w:val="center"/>
          </w:tcPr>
          <w:p>
            <w:pPr>
              <w:pStyle w:val="TableContents"/>
              <w:bidi w:val="0"/>
              <w:spacing w:before="0" w:after="283"/>
              <w:jc w:val="center"/>
              <w:rPr>
                <w:b/>
              </w:rPr>
            </w:pPr>
            <w:r>
              <w:rPr>
                <w:b/>
              </w:rPr>
              <w:t>Three and Six Months Ended June 30, 2025</w:t>
            </w:r>
          </w:p>
        </w:tc>
      </w:tr>
      <w:tr>
        <w:trPr/>
        <w:tc>
          <w:tcPr>
            <w:tcW w:w="11940" w:type="dxa"/>
            <w:gridSpan w:val="29"/>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(Unaudited)</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JAKKS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Pacific, Inc.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Common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Stockholders’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Controlling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Stockholders’</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 December 31, 2024</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628" w:type="dxa"/>
            <w:tcBorders/>
            <w:shd w:fill="CCEEFF" w:val="cle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297,198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(39,692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349" w:type="dxa"/>
            <w:tcBorders/>
            <w:shd w:fill="CCEEFF" w:val="clear"/>
            <w:vAlign w:val="center"/>
          </w:tcPr>
          <w:p>
            <w:pPr>
              <w:pStyle w:val="TableContents"/>
              <w:bidi w:val="0"/>
              <w:spacing w:before="0" w:after="283"/>
              <w:jc w:val="right"/>
              <w:rPr/>
            </w:pPr>
            <w:r>
              <w:rPr/>
              <w:t>(17,184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240,333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240,833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Share-based compensation expense</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2,552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2,552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2,552</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Repurchase of common stock for employee tax withholding</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(3,819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(3,819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(3,819</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Cash dividend declared, $0.25 per share</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(2,786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(2,786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(2,786</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(2,382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(2,382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(2,382</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367" w:type="dxa"/>
            <w:tcBorders>
              <w:bottom w:val="single" w:sz="8" w:space="0" w:color="000000"/>
            </w:tcBorders>
            <w:tcMar>
              <w:bottom w:w="28" w:type="dxa"/>
            </w:tcMar>
            <w:vAlign w:val="center"/>
          </w:tcPr>
          <w:p>
            <w:pPr>
              <w:pStyle w:val="TableContents"/>
              <w:bidi w:val="0"/>
              <w:spacing w:before="0" w:after="283"/>
              <w:jc w:val="left"/>
              <w:rPr/>
            </w:pPr>
            <w:r>
              <w:rPr/>
              <w:t> </w:t>
            </w:r>
          </w:p>
        </w:tc>
        <w:tc>
          <w:tcPr>
            <w:tcW w:w="628"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8" w:space="0" w:color="000000"/>
            </w:tcBorders>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bottom w:val="single" w:sz="8" w:space="0" w:color="000000"/>
            </w:tcBorders>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bottom w:val="single" w:sz="8" w:space="0" w:color="000000"/>
            </w:tcBorders>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tcMar>
              <w:bottom w:w="28" w:type="dxa"/>
            </w:tcMar>
            <w:vAlign w:val="center"/>
          </w:tcPr>
          <w:p>
            <w:pPr>
              <w:pStyle w:val="TableContents"/>
              <w:bidi w:val="0"/>
              <w:spacing w:before="0" w:after="283"/>
              <w:jc w:val="right"/>
              <w:rPr/>
            </w:pPr>
            <w:r>
              <w:rPr/>
              <w:t>628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tcMar>
              <w:bottom w:w="28" w:type="dxa"/>
            </w:tcMar>
            <w:vAlign w:val="center"/>
          </w:tcPr>
          <w:p>
            <w:pPr>
              <w:pStyle w:val="TableContents"/>
              <w:bidi w:val="0"/>
              <w:spacing w:before="0" w:after="283"/>
              <w:jc w:val="right"/>
              <w:rPr/>
            </w:pPr>
            <w:r>
              <w:rPr/>
              <w:t>628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bottom w:val="single" w:sz="8" w:space="0" w:color="000000"/>
            </w:tcBorders>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tcMar>
              <w:bottom w:w="28" w:type="dxa"/>
            </w:tcMar>
            <w:vAlign w:val="center"/>
          </w:tcPr>
          <w:p>
            <w:pPr>
              <w:pStyle w:val="TableContents"/>
              <w:bidi w:val="0"/>
              <w:spacing w:before="0" w:after="283"/>
              <w:jc w:val="right"/>
              <w:rPr/>
            </w:pPr>
            <w:r>
              <w:rPr/>
              <w:t>628</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 March 31, 2025</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295,931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(44,860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(16,556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234,526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235,026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Share-based compensation expense</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3,188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3,188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3,188</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Repurchase of common stock for employee tax withholding</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(9</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Cash dividend declared, $0.25 per share</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(2,786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(2,786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(2,786</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(2,319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(2,319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(2,319</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367" w:type="dxa"/>
            <w:tcBorders>
              <w:bottom w:val="single" w:sz="8" w:space="0" w:color="000000"/>
            </w:tcBorders>
            <w:tcMar>
              <w:bottom w:w="28" w:type="dxa"/>
            </w:tcMar>
            <w:vAlign w:val="center"/>
          </w:tcPr>
          <w:p>
            <w:pPr>
              <w:pStyle w:val="TableContents"/>
              <w:bidi w:val="0"/>
              <w:spacing w:before="0" w:after="283"/>
              <w:jc w:val="left"/>
              <w:rPr/>
            </w:pPr>
            <w:r>
              <w:rPr/>
              <w:t> </w:t>
            </w:r>
          </w:p>
        </w:tc>
        <w:tc>
          <w:tcPr>
            <w:tcW w:w="628"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8" w:space="0" w:color="000000"/>
            </w:tcBorders>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bottom w:val="single" w:sz="8" w:space="0" w:color="000000"/>
            </w:tcBorders>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bottom w:val="single" w:sz="8" w:space="0" w:color="000000"/>
            </w:tcBorders>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tcMar>
              <w:bottom w:w="28" w:type="dxa"/>
            </w:tcMar>
            <w:vAlign w:val="center"/>
          </w:tcPr>
          <w:p>
            <w:pPr>
              <w:pStyle w:val="TableContents"/>
              <w:bidi w:val="0"/>
              <w:spacing w:before="0" w:after="283"/>
              <w:jc w:val="right"/>
              <w:rPr/>
            </w:pPr>
            <w:r>
              <w:rPr/>
              <w:t>3,637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tcMar>
              <w:bottom w:w="28" w:type="dxa"/>
            </w:tcMar>
            <w:vAlign w:val="center"/>
          </w:tcPr>
          <w:p>
            <w:pPr>
              <w:pStyle w:val="TableContents"/>
              <w:bidi w:val="0"/>
              <w:spacing w:before="0" w:after="283"/>
              <w:jc w:val="right"/>
              <w:rPr/>
            </w:pPr>
            <w:r>
              <w:rPr/>
              <w:t>3,637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bottom w:val="single" w:sz="8" w:space="0" w:color="000000"/>
            </w:tcBorders>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tcMar>
              <w:bottom w:w="28" w:type="dxa"/>
            </w:tcMar>
            <w:vAlign w:val="center"/>
          </w:tcPr>
          <w:p>
            <w:pPr>
              <w:pStyle w:val="TableContents"/>
              <w:bidi w:val="0"/>
              <w:spacing w:before="0" w:after="283"/>
              <w:jc w:val="right"/>
              <w:rPr/>
            </w:pPr>
            <w:r>
              <w:rPr/>
              <w:t>3,637</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 June 30, 2025</w:t>
            </w:r>
          </w:p>
        </w:tc>
        <w:tc>
          <w:tcPr>
            <w:tcW w:w="90" w:type="dxa"/>
            <w:tcBorders/>
            <w:shd w:fill="CCEEFF" w:val="clear"/>
            <w:vAlign w:val="center"/>
          </w:tcPr>
          <w:p>
            <w:pPr>
              <w:pStyle w:val="TableContents"/>
              <w:bidi w:val="0"/>
              <w:spacing w:before="0" w:after="283"/>
              <w:jc w:val="left"/>
              <w:rPr/>
            </w:pPr>
            <w:r>
              <w:rPr/>
              <w:t> </w:t>
            </w:r>
          </w:p>
        </w:tc>
        <w:tc>
          <w:tcPr>
            <w:tcW w:w="3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pPr>
            <w:r>
              <w:rPr/>
              <w:t>299,110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jc w:val="right"/>
              <w:rPr/>
            </w:pPr>
            <w:r>
              <w:rPr/>
              <w:t>(49,965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9" w:type="dxa"/>
            <w:tcBorders>
              <w:bottom w:val="double" w:sz="6" w:space="0" w:color="000000"/>
            </w:tcBorders>
            <w:shd w:fill="CCEEFF" w:val="clear"/>
            <w:tcMar>
              <w:bottom w:w="28" w:type="dxa"/>
            </w:tcMar>
            <w:vAlign w:val="center"/>
          </w:tcPr>
          <w:p>
            <w:pPr>
              <w:pStyle w:val="TableContents"/>
              <w:bidi w:val="0"/>
              <w:spacing w:before="0" w:after="283"/>
              <w:jc w:val="right"/>
              <w:rPr/>
            </w:pPr>
            <w:r>
              <w:rPr/>
              <w:t>(12,919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236,237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3" w:type="dxa"/>
            <w:tcBorders>
              <w:bottom w:val="double" w:sz="6" w:space="0" w:color="000000"/>
            </w:tcBorders>
            <w:shd w:fill="CCEEFF" w:val="clear"/>
            <w:tcMar>
              <w:bottom w:w="28" w:type="dxa"/>
            </w:tcMar>
            <w:vAlign w:val="center"/>
          </w:tcPr>
          <w:p>
            <w:pPr>
              <w:pStyle w:val="TableContents"/>
              <w:bidi w:val="0"/>
              <w:spacing w:before="0" w:after="283"/>
              <w:jc w:val="right"/>
              <w:rPr/>
            </w:pPr>
            <w:r>
              <w:rPr/>
              <w:t>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236,737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JAKKS PACIFIC,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5"/>
        <w:gridCol w:w="90"/>
        <w:gridCol w:w="170"/>
        <w:gridCol w:w="785"/>
        <w:gridCol w:w="125"/>
        <w:gridCol w:w="90"/>
        <w:gridCol w:w="170"/>
        <w:gridCol w:w="785"/>
        <w:gridCol w:w="165"/>
      </w:tblGrid>
      <w:tr>
        <w:trPr/>
        <w:tc>
          <w:tcPr>
            <w:tcW w:w="782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125" w:type="dxa"/>
            <w:gridSpan w:val="6"/>
            <w:tcBorders/>
            <w:vAlign w:val="center"/>
          </w:tcPr>
          <w:p>
            <w:pPr>
              <w:pStyle w:val="TableContents"/>
              <w:bidi w:val="0"/>
              <w:spacing w:before="0" w:after="283"/>
              <w:jc w:val="center"/>
              <w:rPr>
                <w:b/>
              </w:rPr>
            </w:pPr>
            <w:r>
              <w:rPr>
                <w:b/>
              </w:rPr>
              <w:t>Six Months Ended</w:t>
              <w:br/>
              <w:t>June 30,</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1,583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(4,701</w:t>
            </w:r>
          </w:p>
        </w:tc>
        <w:tc>
          <w:tcPr>
            <w:tcW w:w="165" w:type="dxa"/>
            <w:tcBorders/>
            <w:shd w:fill="CCEEFF" w:val="clear"/>
            <w:vAlign w:val="center"/>
          </w:tcPr>
          <w:p>
            <w:pPr>
              <w:pStyle w:val="TableContents"/>
              <w:bidi w:val="0"/>
              <w:spacing w:before="0" w:after="283"/>
              <w:ind w:left="0" w:right="0" w:hanging="180"/>
              <w:jc w:val="left"/>
              <w:rPr/>
            </w:pPr>
            <w:r>
              <w:rPr/>
              <w:t>)</w:t>
            </w:r>
          </w:p>
        </w:tc>
      </w:tr>
      <w:tr>
        <w:trPr/>
        <w:tc>
          <w:tcPr>
            <w:tcW w:w="7825" w:type="dxa"/>
            <w:tcBorders/>
            <w:vAlign w:val="center"/>
          </w:tcPr>
          <w:p>
            <w:pPr>
              <w:pStyle w:val="TableContents"/>
              <w:bidi w:val="0"/>
              <w:spacing w:before="0" w:after="283"/>
              <w:jc w:val="left"/>
              <w:rPr/>
            </w:pPr>
            <w:r>
              <w:rPr/>
              <w:t>Adjustments to reconcile net income (loss) to net cash provided by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shd w:fill="CCEEFF" w:val="clear"/>
            <w:vAlign w:val="center"/>
          </w:tcPr>
          <w:p>
            <w:pPr>
              <w:pStyle w:val="TableContents"/>
              <w:bidi w:val="0"/>
              <w:spacing w:before="0" w:after="283"/>
              <w:jc w:val="left"/>
              <w:rPr/>
            </w:pPr>
            <w:r>
              <w:rPr/>
              <w:t>Provision for credit losses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422</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7825"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4,715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3,459</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shd w:fill="CCEEFF" w:val="clear"/>
            <w:vAlign w:val="center"/>
          </w:tcPr>
          <w:p>
            <w:pPr>
              <w:pStyle w:val="TableContents"/>
              <w:bidi w:val="0"/>
              <w:spacing w:before="0" w:after="283"/>
              <w:jc w:val="left"/>
              <w:rPr/>
            </w:pPr>
            <w:r>
              <w:rPr/>
              <w:t>Write-off and amortization of debt issuance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450</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7825" w:type="dxa"/>
            <w:tcBorders/>
            <w:vAlign w:val="center"/>
          </w:tcPr>
          <w:p>
            <w:pPr>
              <w:pStyle w:val="TableContents"/>
              <w:bidi w:val="0"/>
              <w:spacing w:before="0" w:after="283"/>
              <w:jc w:val="left"/>
              <w:rPr/>
            </w:pPr>
            <w:r>
              <w:rPr/>
              <w:t>Share-based compensation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6,079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5,740</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shd w:fill="CCEEFF" w:val="clear"/>
            <w:vAlign w:val="center"/>
          </w:tcPr>
          <w:p>
            <w:pPr>
              <w:pStyle w:val="TableContents"/>
              <w:bidi w:val="0"/>
              <w:spacing w:before="0" w:after="283"/>
              <w:jc w:val="left"/>
              <w:rPr/>
            </w:pPr>
            <w:r>
              <w:rPr/>
              <w:t>Loss on disposal of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31</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7825" w:type="dxa"/>
            <w:tcBorders/>
            <w:vAlign w:val="center"/>
          </w:tcPr>
          <w:p>
            <w:pPr>
              <w:pStyle w:val="TableContents"/>
              <w:bidi w:val="0"/>
              <w:spacing w:before="0" w:after="283"/>
              <w:jc w:val="left"/>
              <w:rPr/>
            </w:pPr>
            <w:r>
              <w:rPr/>
              <w:t>Deferred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7825"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(3,068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6,718</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shd w:fill="CCEEFF" w:val="clear"/>
            <w:vAlign w:val="center"/>
          </w:tcPr>
          <w:p>
            <w:pPr>
              <w:pStyle w:val="TableContents"/>
              <w:bidi w:val="0"/>
              <w:spacing w:before="0" w:after="283"/>
              <w:jc w:val="left"/>
              <w:rPr/>
            </w:pPr>
            <w:r>
              <w:rPr/>
              <w:t>Inventory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(19,031</w:t>
            </w:r>
          </w:p>
        </w:tc>
        <w:tc>
          <w:tcPr>
            <w:tcW w:w="165" w:type="dxa"/>
            <w:tcBorders/>
            <w:shd w:fill="CCEEFF" w:val="clear"/>
            <w:vAlign w:val="center"/>
          </w:tcPr>
          <w:p>
            <w:pPr>
              <w:pStyle w:val="TableContents"/>
              <w:bidi w:val="0"/>
              <w:spacing w:before="0" w:after="283"/>
              <w:ind w:left="0" w:right="0" w:hanging="180"/>
              <w:jc w:val="left"/>
              <w:rPr/>
            </w:pPr>
            <w:r>
              <w:rPr/>
              <w:t>)</w:t>
            </w:r>
          </w:p>
        </w:tc>
      </w:tr>
      <w:tr>
        <w:trPr/>
        <w:tc>
          <w:tcPr>
            <w:tcW w:w="7825" w:type="dxa"/>
            <w:tcBorders/>
            <w:vAlign w:val="center"/>
          </w:tcPr>
          <w:p>
            <w:pPr>
              <w:pStyle w:val="TableContents"/>
              <w:bidi w:val="0"/>
              <w:spacing w:before="0" w:after="283"/>
              <w:jc w:val="left"/>
              <w:rPr/>
            </w:pPr>
            <w:r>
              <w:rPr/>
              <w:t>Prepaid expenses and other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(6,826</w:t>
            </w:r>
          </w:p>
        </w:tc>
        <w:tc>
          <w:tcPr>
            <w:tcW w:w="165" w:type="dxa"/>
            <w:tcBorders/>
            <w:vAlign w:val="center"/>
          </w:tcPr>
          <w:p>
            <w:pPr>
              <w:pStyle w:val="TableContents"/>
              <w:bidi w:val="0"/>
              <w:spacing w:before="0" w:after="283"/>
              <w:ind w:left="0" w:right="0" w:hanging="180"/>
              <w:jc w:val="left"/>
              <w:rPr/>
            </w:pPr>
            <w:r>
              <w:rPr/>
              <w:t>)</w:t>
            </w:r>
          </w:p>
        </w:tc>
      </w:tr>
      <w:tr>
        <w:trPr/>
        <w:tc>
          <w:tcPr>
            <w:tcW w:w="782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15,363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6,252</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7825" w:type="dxa"/>
            <w:tcBorders/>
            <w:vAlign w:val="center"/>
          </w:tcPr>
          <w:p>
            <w:pPr>
              <w:pStyle w:val="TableContents"/>
              <w:bidi w:val="0"/>
              <w:spacing w:before="0" w:after="283"/>
              <w:jc w:val="left"/>
              <w:rPr/>
            </w:pPr>
            <w:r>
              <w:rPr/>
              <w:t>Accrued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4,215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(2,878</w:t>
            </w:r>
          </w:p>
        </w:tc>
        <w:tc>
          <w:tcPr>
            <w:tcW w:w="165" w:type="dxa"/>
            <w:tcBorders/>
            <w:vAlign w:val="center"/>
          </w:tcPr>
          <w:p>
            <w:pPr>
              <w:pStyle w:val="TableContents"/>
              <w:bidi w:val="0"/>
              <w:spacing w:before="0" w:after="283"/>
              <w:ind w:left="0" w:right="0" w:hanging="180"/>
              <w:jc w:val="left"/>
              <w:rPr/>
            </w:pPr>
            <w:r>
              <w:rPr/>
              <w:t>)</w:t>
            </w:r>
          </w:p>
        </w:tc>
      </w:tr>
      <w:tr>
        <w:trPr/>
        <w:tc>
          <w:tcPr>
            <w:tcW w:w="7825" w:type="dxa"/>
            <w:tcBorders/>
            <w:shd w:fill="CCEEFF" w:val="clear"/>
            <w:vAlign w:val="center"/>
          </w:tcPr>
          <w:p>
            <w:pPr>
              <w:pStyle w:val="TableContents"/>
              <w:bidi w:val="0"/>
              <w:spacing w:before="0" w:after="283"/>
              <w:jc w:val="left"/>
              <w:rPr/>
            </w:pPr>
            <w:r>
              <w:rPr/>
              <w:t>Reserve for sales returns and allowances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(2,720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(6,701</w:t>
            </w:r>
          </w:p>
        </w:tc>
        <w:tc>
          <w:tcPr>
            <w:tcW w:w="165" w:type="dxa"/>
            <w:tcBorders/>
            <w:shd w:fill="CCEEFF" w:val="clear"/>
            <w:vAlign w:val="center"/>
          </w:tcPr>
          <w:p>
            <w:pPr>
              <w:pStyle w:val="TableContents"/>
              <w:bidi w:val="0"/>
              <w:spacing w:before="0" w:after="283"/>
              <w:ind w:left="0" w:right="0" w:hanging="180"/>
              <w:jc w:val="left"/>
              <w:rPr/>
            </w:pPr>
            <w:r>
              <w:rPr/>
              <w:t>)</w:t>
            </w:r>
          </w:p>
        </w:tc>
      </w:tr>
      <w:tr>
        <w:trPr/>
        <w:tc>
          <w:tcPr>
            <w:tcW w:w="7825" w:type="dxa"/>
            <w:tcBorders/>
            <w:vAlign w:val="center"/>
          </w:tcPr>
          <w:p>
            <w:pPr>
              <w:pStyle w:val="TableContents"/>
              <w:bidi w:val="0"/>
              <w:spacing w:before="0" w:after="283"/>
              <w:jc w:val="left"/>
              <w:rPr/>
            </w:pPr>
            <w:r>
              <w:rPr/>
              <w:t>Income taxes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(2,089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(2,610</w:t>
            </w:r>
          </w:p>
        </w:tc>
        <w:tc>
          <w:tcPr>
            <w:tcW w:w="165" w:type="dxa"/>
            <w:tcBorders/>
            <w:vAlign w:val="center"/>
          </w:tcPr>
          <w:p>
            <w:pPr>
              <w:pStyle w:val="TableContents"/>
              <w:bidi w:val="0"/>
              <w:spacing w:before="0" w:after="283"/>
              <w:ind w:left="0" w:right="0" w:hanging="180"/>
              <w:jc w:val="left"/>
              <w:rPr/>
            </w:pPr>
            <w:r>
              <w:rPr/>
              <w:t>)</w:t>
            </w:r>
          </w:p>
        </w:tc>
      </w:tr>
      <w:tr>
        <w:trPr/>
        <w:tc>
          <w:tcPr>
            <w:tcW w:w="7825" w:type="dxa"/>
            <w:tcBorders/>
            <w:shd w:fill="CCEEFF" w:val="clear"/>
            <w:vAlign w:val="center"/>
          </w:tcPr>
          <w:p>
            <w:pPr>
              <w:pStyle w:val="TableContents"/>
              <w:bidi w:val="0"/>
              <w:spacing w:before="0" w:after="283"/>
              <w:jc w:val="left"/>
              <w:rPr/>
            </w:pPr>
            <w:r>
              <w:rPr/>
              <w:t>Other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3,744</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7825" w:type="dxa"/>
            <w:tcBorders/>
            <w:vAlign w:val="center"/>
          </w:tcPr>
          <w:p>
            <w:pPr>
              <w:pStyle w:val="TableContents"/>
              <w:bidi w:val="0"/>
              <w:spacing w:before="0" w:after="283"/>
              <w:jc w:val="left"/>
              <w:rPr/>
            </w:pPr>
            <w:r>
              <w:rPr/>
              <w:t>Total adjustments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24,566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(11,230</w:t>
            </w:r>
          </w:p>
        </w:tc>
        <w:tc>
          <w:tcPr>
            <w:tcW w:w="165" w:type="dxa"/>
            <w:tcBorders/>
            <w:vAlign w:val="center"/>
          </w:tcPr>
          <w:p>
            <w:pPr>
              <w:pStyle w:val="TableContents"/>
              <w:bidi w:val="0"/>
              <w:spacing w:before="0" w:after="283"/>
              <w:ind w:left="0" w:right="0" w:hanging="180"/>
              <w:jc w:val="left"/>
              <w:rPr/>
            </w:pPr>
            <w:r>
              <w:rPr/>
              <w:t>)</w:t>
            </w:r>
          </w:p>
        </w:tc>
      </w:tr>
      <w:tr>
        <w:trPr/>
        <w:tc>
          <w:tcPr>
            <w:tcW w:w="7825" w:type="dxa"/>
            <w:tcBorders/>
            <w:shd w:fill="CCEEFF" w:val="clear"/>
            <w:vAlign w:val="center"/>
          </w:tcPr>
          <w:p>
            <w:pPr>
              <w:pStyle w:val="TableContents"/>
              <w:bidi w:val="0"/>
              <w:spacing w:before="0" w:after="283"/>
              <w:jc w:val="left"/>
              <w:rPr/>
            </w:pPr>
            <w:r>
              <w:rPr/>
              <w:t>Net cash provided by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26,149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(15,931</w:t>
            </w:r>
          </w:p>
        </w:tc>
        <w:tc>
          <w:tcPr>
            <w:tcW w:w="165" w:type="dxa"/>
            <w:tcBorders/>
            <w:shd w:fill="CCEEFF" w:val="clear"/>
            <w:vAlign w:val="center"/>
          </w:tcPr>
          <w:p>
            <w:pPr>
              <w:pStyle w:val="TableContents"/>
              <w:bidi w:val="0"/>
              <w:spacing w:before="0" w:after="283"/>
              <w:ind w:left="0" w:right="0" w:hanging="180"/>
              <w:jc w:val="left"/>
              <w:rPr/>
            </w:pPr>
            <w:r>
              <w:rPr/>
              <w:t>)</w:t>
            </w:r>
          </w:p>
        </w:tc>
      </w:tr>
      <w:tr>
        <w:trPr/>
        <w:tc>
          <w:tcPr>
            <w:tcW w:w="7825"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shd w:fill="CCEEFF" w:val="clear"/>
            <w:vAlign w:val="center"/>
          </w:tcPr>
          <w:p>
            <w:pPr>
              <w:pStyle w:val="TableContents"/>
              <w:bidi w:val="0"/>
              <w:spacing w:before="0" w:after="283"/>
              <w:jc w:val="left"/>
              <w:rPr/>
            </w:pPr>
            <w:r>
              <w:rPr/>
              <w:t>Purchases of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(10,104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(4,470</w:t>
            </w:r>
          </w:p>
        </w:tc>
        <w:tc>
          <w:tcPr>
            <w:tcW w:w="165" w:type="dxa"/>
            <w:tcBorders/>
            <w:shd w:fill="CCEEFF" w:val="clear"/>
            <w:vAlign w:val="center"/>
          </w:tcPr>
          <w:p>
            <w:pPr>
              <w:pStyle w:val="TableContents"/>
              <w:bidi w:val="0"/>
              <w:spacing w:before="0" w:after="283"/>
              <w:ind w:left="0" w:right="0" w:hanging="180"/>
              <w:jc w:val="left"/>
              <w:rPr/>
            </w:pPr>
            <w:r>
              <w:rPr/>
              <w:t>)</w:t>
            </w:r>
          </w:p>
        </w:tc>
      </w:tr>
      <w:tr>
        <w:trPr/>
        <w:tc>
          <w:tcPr>
            <w:tcW w:w="7825" w:type="dxa"/>
            <w:tcBorders/>
            <w:vAlign w:val="center"/>
          </w:tcPr>
          <w:p>
            <w:pPr>
              <w:pStyle w:val="TableContents"/>
              <w:bidi w:val="0"/>
              <w:spacing w:before="0" w:after="283"/>
              <w:jc w:val="left"/>
              <w:rPr/>
            </w:pPr>
            <w:r>
              <w:rPr/>
              <w:t>Investments in employee deferred compensation trusts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(428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(1,545</w:t>
            </w:r>
          </w:p>
        </w:tc>
        <w:tc>
          <w:tcPr>
            <w:tcW w:w="165" w:type="dxa"/>
            <w:tcBorders/>
            <w:vAlign w:val="center"/>
          </w:tcPr>
          <w:p>
            <w:pPr>
              <w:pStyle w:val="TableContents"/>
              <w:bidi w:val="0"/>
              <w:spacing w:before="0" w:after="283"/>
              <w:ind w:left="0" w:right="0" w:hanging="180"/>
              <w:jc w:val="left"/>
              <w:rPr/>
            </w:pPr>
            <w:r>
              <w:rPr/>
              <w:t>)</w:t>
            </w:r>
          </w:p>
        </w:tc>
      </w:tr>
      <w:tr>
        <w:trPr/>
        <w:tc>
          <w:tcPr>
            <w:tcW w:w="7825" w:type="dxa"/>
            <w:tcBorders/>
            <w:shd w:fill="CCEEFF" w:val="clear"/>
            <w:vAlign w:val="center"/>
          </w:tcPr>
          <w:p>
            <w:pPr>
              <w:pStyle w:val="TableContents"/>
              <w:bidi w:val="0"/>
              <w:spacing w:before="0" w:after="283"/>
              <w:jc w:val="left"/>
              <w:rPr/>
            </w:pPr>
            <w:r>
              <w:rPr/>
              <w:t>Net cash used in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(10,532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(6,015</w:t>
            </w:r>
          </w:p>
        </w:tc>
        <w:tc>
          <w:tcPr>
            <w:tcW w:w="165" w:type="dxa"/>
            <w:tcBorders/>
            <w:shd w:fill="CCEEFF" w:val="clear"/>
            <w:vAlign w:val="center"/>
          </w:tcPr>
          <w:p>
            <w:pPr>
              <w:pStyle w:val="TableContents"/>
              <w:bidi w:val="0"/>
              <w:spacing w:before="0" w:after="283"/>
              <w:ind w:left="0" w:right="0" w:hanging="180"/>
              <w:jc w:val="left"/>
              <w:rPr/>
            </w:pPr>
            <w:r>
              <w:rPr/>
              <w:t>)</w:t>
            </w:r>
          </w:p>
        </w:tc>
      </w:tr>
      <w:tr>
        <w:trPr/>
        <w:tc>
          <w:tcPr>
            <w:tcW w:w="7825"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shd w:fill="CCEEFF" w:val="clear"/>
            <w:vAlign w:val="center"/>
          </w:tcPr>
          <w:p>
            <w:pPr>
              <w:pStyle w:val="TableContents"/>
              <w:bidi w:val="0"/>
              <w:spacing w:before="0" w:after="283"/>
              <w:jc w:val="left"/>
              <w:rPr/>
            </w:pPr>
            <w:r>
              <w:rPr/>
              <w:t>Repurchase of common stock for employee tax withholding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(1,269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(3,828</w:t>
            </w:r>
          </w:p>
        </w:tc>
        <w:tc>
          <w:tcPr>
            <w:tcW w:w="165" w:type="dxa"/>
            <w:tcBorders/>
            <w:shd w:fill="CCEEFF" w:val="clear"/>
            <w:vAlign w:val="center"/>
          </w:tcPr>
          <w:p>
            <w:pPr>
              <w:pStyle w:val="TableContents"/>
              <w:bidi w:val="0"/>
              <w:spacing w:before="0" w:after="283"/>
              <w:ind w:left="0" w:right="0" w:hanging="180"/>
              <w:jc w:val="left"/>
              <w:rPr/>
            </w:pPr>
            <w:r>
              <w:rPr/>
              <w:t>)</w:t>
            </w:r>
          </w:p>
        </w:tc>
      </w:tr>
      <w:tr>
        <w:trPr/>
        <w:tc>
          <w:tcPr>
            <w:tcW w:w="7825" w:type="dxa"/>
            <w:tcBorders/>
            <w:vAlign w:val="center"/>
          </w:tcPr>
          <w:p>
            <w:pPr>
              <w:pStyle w:val="TableContents"/>
              <w:bidi w:val="0"/>
              <w:spacing w:before="0" w:after="283"/>
              <w:jc w:val="left"/>
              <w:rPr/>
            </w:pPr>
            <w:r>
              <w:rPr/>
              <w:t>Cash dividend paid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(5,722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(5,572</w:t>
            </w:r>
          </w:p>
        </w:tc>
        <w:tc>
          <w:tcPr>
            <w:tcW w:w="165" w:type="dxa"/>
            <w:tcBorders/>
            <w:vAlign w:val="center"/>
          </w:tcPr>
          <w:p>
            <w:pPr>
              <w:pStyle w:val="TableContents"/>
              <w:bidi w:val="0"/>
              <w:spacing w:before="0" w:after="283"/>
              <w:ind w:left="0" w:right="0" w:hanging="180"/>
              <w:jc w:val="left"/>
              <w:rPr/>
            </w:pPr>
            <w:r>
              <w:rPr/>
              <w:t>)</w:t>
            </w:r>
          </w:p>
        </w:tc>
      </w:tr>
      <w:tr>
        <w:trPr/>
        <w:tc>
          <w:tcPr>
            <w:tcW w:w="7825" w:type="dxa"/>
            <w:tcBorders/>
            <w:shd w:fill="CCEEFF" w:val="clear"/>
            <w:vAlign w:val="center"/>
          </w:tcPr>
          <w:p>
            <w:pPr>
              <w:pStyle w:val="TableContents"/>
              <w:bidi w:val="0"/>
              <w:spacing w:before="0" w:after="283"/>
              <w:jc w:val="left"/>
              <w:rPr/>
            </w:pPr>
            <w:r>
              <w:rPr/>
              <w:t>Payments for deferred issuance costs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(146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7825" w:type="dxa"/>
            <w:tcBorders/>
            <w:vAlign w:val="center"/>
          </w:tcPr>
          <w:p>
            <w:pPr>
              <w:pStyle w:val="TableContents"/>
              <w:bidi w:val="0"/>
              <w:spacing w:before="0" w:after="283"/>
              <w:jc w:val="left"/>
              <w:rPr/>
            </w:pPr>
            <w:r>
              <w:rPr/>
              <w:t>Net cash used in financing activities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(7,137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right"/>
              <w:rPr/>
            </w:pPr>
            <w:r>
              <w:rPr/>
              <w:t>(9,400</w:t>
            </w:r>
          </w:p>
        </w:tc>
        <w:tc>
          <w:tcPr>
            <w:tcW w:w="165" w:type="dxa"/>
            <w:tcBorders/>
            <w:vAlign w:val="center"/>
          </w:tcPr>
          <w:p>
            <w:pPr>
              <w:pStyle w:val="TableContents"/>
              <w:bidi w:val="0"/>
              <w:spacing w:before="0" w:after="283"/>
              <w:ind w:left="0" w:right="0" w:hanging="180"/>
              <w:jc w:val="left"/>
              <w:rPr/>
            </w:pPr>
            <w:r>
              <w:rPr/>
              <w:t>)</w:t>
            </w:r>
          </w:p>
        </w:tc>
      </w:tr>
      <w:tr>
        <w:trPr/>
        <w:tc>
          <w:tcPr>
            <w:tcW w:w="7825" w:type="dxa"/>
            <w:tcBorders/>
            <w:shd w:fill="CCEEFF" w:val="clear"/>
            <w:vAlign w:val="center"/>
          </w:tcPr>
          <w:p>
            <w:pPr>
              <w:pStyle w:val="TableContents"/>
              <w:bidi w:val="0"/>
              <w:spacing w:before="0" w:after="283"/>
              <w:jc w:val="left"/>
              <w:rPr/>
            </w:pPr>
            <w:r>
              <w:rPr/>
              <w:t>Net increase (decrease) in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8,480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(31,346</w:t>
            </w:r>
          </w:p>
        </w:tc>
        <w:tc>
          <w:tcPr>
            <w:tcW w:w="165" w:type="dxa"/>
            <w:tcBorders/>
            <w:shd w:fill="CCEEFF" w:val="clear"/>
            <w:vAlign w:val="center"/>
          </w:tcPr>
          <w:p>
            <w:pPr>
              <w:pStyle w:val="TableContents"/>
              <w:bidi w:val="0"/>
              <w:spacing w:before="0" w:after="283"/>
              <w:ind w:left="0" w:right="0" w:hanging="180"/>
              <w:jc w:val="left"/>
              <w:rPr/>
            </w:pPr>
            <w:r>
              <w:rPr/>
              <w:t>)</w:t>
            </w:r>
          </w:p>
        </w:tc>
      </w:tr>
      <w:tr>
        <w:trPr/>
        <w:tc>
          <w:tcPr>
            <w:tcW w:w="7825" w:type="dxa"/>
            <w:tcBorders/>
            <w:vAlign w:val="center"/>
          </w:tcPr>
          <w:p>
            <w:pPr>
              <w:pStyle w:val="TableContents"/>
              <w:bidi w:val="0"/>
              <w:spacing w:before="0" w:after="283"/>
              <w:jc w:val="left"/>
              <w:rPr/>
            </w:pPr>
            <w:r>
              <w:rPr/>
              <w:t>Effect of foreign currency translation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(1,901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4,265</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shd w:fill="CCEEFF" w:val="clear"/>
            <w:vAlign w:val="center"/>
          </w:tcPr>
          <w:p>
            <w:pPr>
              <w:pStyle w:val="TableContents"/>
              <w:bidi w:val="0"/>
              <w:spacing w:before="0" w:after="283"/>
              <w:jc w:val="left"/>
              <w:rPr/>
            </w:pPr>
            <w:r>
              <w:rPr/>
              <w:t>Cash, cash equivalents and restricted cash, beginning of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54,066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70,137</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7825" w:type="dxa"/>
            <w:tcBorders/>
            <w:vAlign w:val="center"/>
          </w:tcPr>
          <w:p>
            <w:pPr>
              <w:pStyle w:val="TableContents"/>
              <w:bidi w:val="0"/>
              <w:spacing w:before="0" w:after="283"/>
              <w:jc w:val="left"/>
              <w:rPr/>
            </w:pPr>
            <w:r>
              <w:rPr/>
              <w:t>Cash, cash equivalents and restricted cash, end of period</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tcMar>
              <w:bottom w:w="28" w:type="dxa"/>
            </w:tcMar>
            <w:vAlign w:val="center"/>
          </w:tcPr>
          <w:p>
            <w:pPr>
              <w:pStyle w:val="TableContents"/>
              <w:bidi w:val="0"/>
              <w:spacing w:before="0" w:after="283"/>
              <w:jc w:val="right"/>
              <w:rPr/>
            </w:pPr>
            <w:r>
              <w:rPr/>
              <w:t>60,645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tcMar>
              <w:bottom w:w="28" w:type="dxa"/>
            </w:tcMar>
            <w:vAlign w:val="center"/>
          </w:tcPr>
          <w:p>
            <w:pPr>
              <w:pStyle w:val="TableContents"/>
              <w:bidi w:val="0"/>
              <w:spacing w:before="0" w:after="283"/>
              <w:jc w:val="right"/>
              <w:rPr/>
            </w:pPr>
            <w:r>
              <w:rPr/>
              <w:t>43,056</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shd w:fill="CCEEFF" w:val="clear"/>
            <w:vAlign w:val="center"/>
          </w:tcPr>
          <w:p>
            <w:pPr>
              <w:pStyle w:val="TableContents"/>
              <w:bidi w:val="0"/>
              <w:spacing w:before="0" w:after="283"/>
              <w:jc w:val="left"/>
              <w:rPr>
                <w:b/>
              </w:rPr>
            </w:pPr>
            <w:r>
              <w:rPr>
                <w:b/>
              </w:rPr>
              <w:t>Supplemental disclosures of cash flow information: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ind w:left="0" w:right="0" w:hanging="180"/>
              <w:jc w:val="left"/>
              <w:rPr/>
            </w:pPr>
            <w:r>
              <w:rPr/>
              <w:t> </w:t>
            </w:r>
          </w:p>
        </w:tc>
      </w:tr>
      <w:tr>
        <w:trPr/>
        <w:tc>
          <w:tcPr>
            <w:tcW w:w="7825" w:type="dxa"/>
            <w:tcBorders/>
            <w:vAlign w:val="center"/>
          </w:tcPr>
          <w:p>
            <w:pPr>
              <w:pStyle w:val="TableContents"/>
              <w:bidi w:val="0"/>
              <w:spacing w:before="0" w:after="283"/>
              <w:jc w:val="left"/>
              <w:rPr/>
            </w:pPr>
            <w:r>
              <w:rPr/>
              <w:t>Cash paid for income taxes, net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tcMar>
              <w:bottom w:w="28" w:type="dxa"/>
            </w:tcMar>
            <w:vAlign w:val="center"/>
          </w:tcPr>
          <w:p>
            <w:pPr>
              <w:pStyle w:val="TableContents"/>
              <w:bidi w:val="0"/>
              <w:spacing w:before="0" w:after="283"/>
              <w:jc w:val="right"/>
              <w:rPr/>
            </w:pPr>
            <w:r>
              <w:rPr/>
              <w:t>(3,314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tcMar>
              <w:bottom w:w="28" w:type="dxa"/>
            </w:tcMar>
            <w:vAlign w:val="center"/>
          </w:tcPr>
          <w:p>
            <w:pPr>
              <w:pStyle w:val="TableContents"/>
              <w:bidi w:val="0"/>
              <w:spacing w:before="0" w:after="283"/>
              <w:jc w:val="right"/>
              <w:rPr/>
            </w:pPr>
            <w:r>
              <w:rPr/>
              <w:t>2,199</w:t>
            </w:r>
          </w:p>
        </w:tc>
        <w:tc>
          <w:tcPr>
            <w:tcW w:w="165" w:type="dxa"/>
            <w:tcBorders/>
            <w:vAlign w:val="center"/>
          </w:tcPr>
          <w:p>
            <w:pPr>
              <w:pStyle w:val="TableContents"/>
              <w:bidi w:val="0"/>
              <w:spacing w:before="0" w:after="283"/>
              <w:ind w:left="0" w:right="0" w:hanging="180"/>
              <w:jc w:val="left"/>
              <w:rPr/>
            </w:pPr>
            <w:r>
              <w:rPr/>
              <w:t> </w:t>
            </w:r>
          </w:p>
        </w:tc>
      </w:tr>
      <w:tr>
        <w:trPr/>
        <w:tc>
          <w:tcPr>
            <w:tcW w:w="7825" w:type="dxa"/>
            <w:tcBorders/>
            <w:shd w:fill="CCEEFF" w:val="clear"/>
            <w:vAlign w:val="center"/>
          </w:tcPr>
          <w:p>
            <w:pPr>
              <w:pStyle w:val="TableContents"/>
              <w:bidi w:val="0"/>
              <w:spacing w:before="0" w:after="283"/>
              <w:jc w:val="left"/>
              <w:rPr/>
            </w:pPr>
            <w:r>
              <w:rPr/>
              <w:t>Cash paid for interest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income tax refunds of $7.1 million and $6 thousand during the six months ended June 30, 2026 and 2025, respectively, and has included these amounts in cash paid during the period for income taxes,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of non-cash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the lease liability increased by $0.1 million and $2.5 million respectively, with a corresponding increase to the ROU asset.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there was $5.9 million and $6.1 million, respectively, of property and equipment purchases included in accounts payable.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included herein have been prepared by the Company, without audit, pursuant to the rules and regulations of the Securities and Exchange Commission (the “SEC”). Certain information and footnote disclosures normally included in financial statements prepared in accordance with accounting principles generally accepted in the United States of America have been condensed or omitted pursuant to such rules and regulations. However, the Company believes that the disclosures are adequate to prevent the information presented from being misleading. These financial statements should be read in conjunction with the financial statements and the notes thereto included in the Company’s Annual Report on Form 10-K, which contains audited financial information for each of the three years in the period ended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this report reflects all adjustments (consisting solely of normal recurring items) that are, in the opinion of management, necessary to present fairly the financial position and the results of operations for the periods presented. Interim results are not necessarily, especially given seasonality, indicative of results to be expected for a full year.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JAKKS Pacific, Inc. and its wholly-owned subsidiaries (collectively,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The new guidance improves disclosures about a public business entity’s expenses by requiring disaggregated disclosures of certain types of expenses, including purchases of inventory, employee compensation, depreciation, intangible amortization and depletion, as applicable, for each income statement caption that includes those expenses. In addition, the standard will require entities to define and disclose total selling expenses. The standard is effective for public business entities such as the Company for annual periods beginning after December 15, 2026, and interim periods beginning after December 15, 2027. Early adoption is permitted, and entities may apply the standard prospectively or retrospectively. The Company is currently evaluating the impact of adopting this standard on its condensed consolidated financial statements and related disclosures.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The new guidance provides a practical expedient in developing reasonable and supportable forecasts when estimating expected credit losses for current accounts receivable and current contract assets arising from transactions accounted for under Topic 606. Entities that elect the practical expedient may assume that current conditions as of the balance sheet date do not change for the remaining life of the respective assets. The amendments will be effective for annual reporting periods beginning after December 15, 2025, and interim reporting periods within those annual reporting periods. Early adoption was permitted in both interim and annual reporting periods in which financial statements have not yet been issued or made available for issuance. The Company adopted this standard as of January 1, 2026. The adoption of this standard did not have a material impact on its condensed consolidated financial statements and related disclosures.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Targeted Improvements to the Accounting for Internal-Use Software.” The new guidance removes all references to prescriptive and sequential software development stages (referred to as “project stages”) throughout Subtopic 350-40. Therefore,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In evaluating the probable-to-complete recognition threshold, an entity is required to consider whether there is significant uncertainty associated with the development activities of the software (referred to as “significant development uncertainty”). The amendments will be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of adopting this standard on its condensed consolidated financial statements and related disclosures.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accounting pronouncements were issued or adopted for the three and six months ended June 30, 2026 that materially impacted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Business Segments, Geographic Data and Sales by 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worldwide producer and marketer of children’s toys and other consumer products, principally engaged in the design, development, production, marketing and distribution of its diverse portfolio of products. The Company’s segments are (i) Toys/Consumer Products (“TCP”) and (ii) Costumes.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Toys/Consumer Products segment includes action figures, vehicles, play sets, plush products, dolls, electronic products, construction toys, infant and pre-school toys, child-sized and hand-held role play toys and everyday costume play, foot-to-floor ride-on vehicles, wagons, novelty toys, seasonal and outdoor products, kids’ indoor and outdoor furniture, and related products.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Costumes segment, under its Disguise branding, designs, develops, markets and sells a wide range of every-day and special occasion dress-up costumes and related accessories in support of Halloween, Carnival, Children’s Day, Book Day/Week, and every-day/any-day costume play.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 Chief Financial Officer have been identified jointly as the Chief Operating Decision Maker (“CODM”). The CODM manages and allocates resources on a segment basis. The determination of the two segments is consistent with the financial information regularly reviewed by the CODM for purposes of evaluating performance. Results are regularly reviewed in comparison with current budget, prior forecast, prior year and recent years’ performance in that quarter.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performance is measured at the gross profit and operating income (loss) level. All sales are made to external customers and general corporate expenses have been attributed to the segments based upon relative sales volumes. Segment assets are primarily comprised of accounts receivable and inventories, net of applicable reserves and allowances, goodwill and other assets. Certain assets which are not tracked by operating segment and/or that benefit multiple operating segments have been allocated on the same basis.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are not necessarily those which would be achieved if each segment was an unaffiliated business enterprise. Information by segment and a reconciliation to reported amounts for the three and six months ended June 30, 2026 and 2025 and as of June 30, 2026 and December 31, 2025 are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5"/>
        <w:gridCol w:w="90"/>
        <w:gridCol w:w="170"/>
        <w:gridCol w:w="710"/>
        <w:gridCol w:w="90"/>
        <w:gridCol w:w="90"/>
        <w:gridCol w:w="200"/>
        <w:gridCol w:w="840"/>
        <w:gridCol w:w="125"/>
        <w:gridCol w:w="90"/>
        <w:gridCol w:w="170"/>
        <w:gridCol w:w="830"/>
        <w:gridCol w:w="125"/>
        <w:gridCol w:w="90"/>
        <w:gridCol w:w="170"/>
        <w:gridCol w:w="710"/>
        <w:gridCol w:w="125"/>
        <w:gridCol w:w="90"/>
        <w:gridCol w:w="200"/>
        <w:gridCol w:w="840"/>
        <w:gridCol w:w="125"/>
        <w:gridCol w:w="90"/>
        <w:gridCol w:w="170"/>
        <w:gridCol w:w="830"/>
        <w:gridCol w:w="170"/>
      </w:tblGrid>
      <w:tr>
        <w:trPr/>
        <w:tc>
          <w:tcPr>
            <w:tcW w:w="306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688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70" w:type="dxa"/>
            <w:tcBorders/>
            <w:vAlign w:val="center"/>
          </w:tcPr>
          <w:p>
            <w:pPr>
              <w:pStyle w:val="TableContents"/>
              <w:bidi w:val="0"/>
              <w:spacing w:before="0" w:after="283"/>
              <w:ind w:left="0" w:right="0" w:hanging="180"/>
              <w:jc w:val="left"/>
              <w:rPr/>
            </w:pPr>
            <w:r>
              <w:rPr/>
              <w:t> </w:t>
            </w:r>
          </w:p>
        </w:tc>
      </w:tr>
      <w:tr>
        <w:trPr/>
        <w:tc>
          <w:tcPr>
            <w:tcW w:w="3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ind w:left="0" w:right="0" w:hanging="180"/>
              <w:jc w:val="left"/>
              <w:rPr/>
            </w:pPr>
            <w:r>
              <w:rPr/>
              <w:t> </w:t>
            </w:r>
          </w:p>
        </w:tc>
      </w:tr>
      <w:tr>
        <w:trPr/>
        <w:tc>
          <w:tcPr>
            <w:tcW w:w="3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TCP</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Costumes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TCP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Costumes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ind w:left="0" w:right="0" w:hanging="180"/>
              <w:jc w:val="left"/>
              <w:rPr/>
            </w:pPr>
            <w:r>
              <w:rPr/>
              <w:t> </w:t>
            </w:r>
          </w:p>
        </w:tc>
      </w:tr>
      <w:tr>
        <w:trPr/>
        <w:tc>
          <w:tcPr>
            <w:tcW w:w="3065"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97,507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41,731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139,238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80,379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38,715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119,094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Sales </w:t>
            </w:r>
            <w:r>
              <w:rPr>
                <w:rFonts w:ascii="Times New Roman;Times;Serif" w:hAnsi="Times New Roman;Times;Serif"/>
                <w:position w:val="7"/>
                <w:sz w:val="16"/>
                <w:sz w:val="20"/>
              </w:rPr>
              <w:t>(A)</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64,006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single" w:sz="8" w:space="0" w:color="000000"/>
            </w:tcBorders>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tcMar>
              <w:bottom w:w="28" w:type="dxa"/>
            </w:tcMar>
            <w:vAlign w:val="center"/>
          </w:tcPr>
          <w:p>
            <w:pPr>
              <w:pStyle w:val="TableContents"/>
              <w:bidi w:val="0"/>
              <w:spacing w:before="0" w:after="283"/>
              <w:jc w:val="right"/>
              <w:rPr/>
            </w:pPr>
            <w:r>
              <w:rPr/>
              <w:t>30,271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94,277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53,293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single" w:sz="8" w:space="0" w:color="000000"/>
            </w:tcBorders>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tcMar>
              <w:bottom w:w="28" w:type="dxa"/>
            </w:tcMar>
            <w:vAlign w:val="center"/>
          </w:tcPr>
          <w:p>
            <w:pPr>
              <w:pStyle w:val="TableContents"/>
              <w:bidi w:val="0"/>
              <w:spacing w:before="0" w:after="283"/>
              <w:jc w:val="right"/>
              <w:rPr/>
            </w:pPr>
            <w:r>
              <w:rPr/>
              <w:t>26,778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80,071</w:t>
            </w:r>
          </w:p>
        </w:tc>
        <w:tc>
          <w:tcPr>
            <w:tcW w:w="170" w:type="dxa"/>
            <w:tcBorders/>
            <w:vAlign w:val="center"/>
          </w:tcPr>
          <w:p>
            <w:pPr>
              <w:pStyle w:val="TableContents"/>
              <w:bidi w:val="0"/>
              <w:spacing w:before="0" w:after="283"/>
              <w:ind w:left="0" w:right="0" w:hanging="180"/>
              <w:jc w:val="left"/>
              <w:rPr/>
            </w:pPr>
            <w:r>
              <w:rPr/>
              <w:t> </w:t>
            </w:r>
          </w:p>
        </w:tc>
      </w:tr>
      <w:tr>
        <w:trPr/>
        <w:tc>
          <w:tcPr>
            <w:tcW w:w="306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33,501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11,460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44,961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27,086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11,937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39,023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3065" w:type="dxa"/>
            <w:tcBorders/>
            <w:shd w:fill="CCEEFF" w:val="clear"/>
            <w:vAlign w:val="center"/>
          </w:tcPr>
          <w:p>
            <w:pPr>
              <w:pStyle w:val="TableContents"/>
              <w:bidi w:val="0"/>
              <w:spacing w:before="0" w:after="283"/>
              <w:jc w:val="left"/>
              <w:rPr/>
            </w:pPr>
            <w:r>
              <w:rPr/>
              <w:t>Direct selling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6,226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2,274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4,987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1,723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6,710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65" w:type="dxa"/>
            <w:tcBorders/>
            <w:vAlign w:val="center"/>
          </w:tcPr>
          <w:p>
            <w:pPr>
              <w:pStyle w:val="TableContents"/>
              <w:bidi w:val="0"/>
              <w:spacing w:before="0" w:after="283"/>
              <w:jc w:val="left"/>
              <w:rPr/>
            </w:pPr>
            <w:r>
              <w:rPr/>
              <w:t>Product development and testing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2,305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958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3,263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2,180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889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3,069</w:t>
            </w:r>
          </w:p>
        </w:tc>
        <w:tc>
          <w:tcPr>
            <w:tcW w:w="170" w:type="dxa"/>
            <w:tcBorders/>
            <w:vAlign w:val="center"/>
          </w:tcPr>
          <w:p>
            <w:pPr>
              <w:pStyle w:val="TableContents"/>
              <w:bidi w:val="0"/>
              <w:spacing w:before="0" w:after="283"/>
              <w:ind w:left="0" w:right="0" w:hanging="180"/>
              <w:jc w:val="left"/>
              <w:rPr/>
            </w:pPr>
            <w:r>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Divisional general and administrative expenses </w:t>
            </w:r>
            <w:r>
              <w:rPr>
                <w:rFonts w:ascii="Times New Roman;Times;Serif" w:hAnsi="Times New Roman;Times;Serif"/>
                <w:position w:val="7"/>
                <w:sz w:val="16"/>
                <w:sz w:val="20"/>
              </w:rPr>
              <w:t>(A), (B)</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5,845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2,993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8,838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5,805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2,956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8,761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Allocated headquarter general &amp; administrative expenses </w:t>
            </w:r>
            <w:r>
              <w:rPr>
                <w:rFonts w:ascii="Times New Roman;Times;Serif" w:hAnsi="Times New Roman;Times;Serif"/>
                <w:position w:val="7"/>
                <w:sz w:val="16"/>
                <w:sz w:val="20"/>
              </w:rPr>
              <w:t>(A), (C)</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17,037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single" w:sz="8" w:space="0" w:color="000000"/>
            </w:tcBorders>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tcMar>
              <w:bottom w:w="28" w:type="dxa"/>
            </w:tcMar>
            <w:vAlign w:val="center"/>
          </w:tcPr>
          <w:p>
            <w:pPr>
              <w:pStyle w:val="TableContents"/>
              <w:bidi w:val="0"/>
              <w:spacing w:before="0" w:after="283"/>
              <w:jc w:val="right"/>
              <w:rPr/>
            </w:pPr>
            <w:r>
              <w:rPr/>
              <w:t>7,465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24,502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15,782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single" w:sz="8" w:space="0" w:color="000000"/>
            </w:tcBorders>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tcMar>
              <w:bottom w:w="28" w:type="dxa"/>
            </w:tcMar>
            <w:vAlign w:val="center"/>
          </w:tcPr>
          <w:p>
            <w:pPr>
              <w:pStyle w:val="TableContents"/>
              <w:bidi w:val="0"/>
              <w:spacing w:before="0" w:after="283"/>
              <w:jc w:val="right"/>
              <w:rPr/>
            </w:pPr>
            <w:r>
              <w:rPr/>
              <w:t>7,484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23,266</w:t>
            </w:r>
          </w:p>
        </w:tc>
        <w:tc>
          <w:tcPr>
            <w:tcW w:w="170" w:type="dxa"/>
            <w:tcBorders/>
            <w:vAlign w:val="center"/>
          </w:tcPr>
          <w:p>
            <w:pPr>
              <w:pStyle w:val="TableContents"/>
              <w:bidi w:val="0"/>
              <w:spacing w:before="0" w:after="283"/>
              <w:ind w:left="0" w:right="0" w:hanging="180"/>
              <w:jc w:val="left"/>
              <w:rPr/>
            </w:pPr>
            <w:r>
              <w:rPr/>
              <w:t> </w:t>
            </w:r>
          </w:p>
        </w:tc>
      </w:tr>
      <w:tr>
        <w:trPr/>
        <w:tc>
          <w:tcPr>
            <w:tcW w:w="3065" w:type="dxa"/>
            <w:tcBorders/>
            <w:shd w:fill="CCEEFF" w:val="clear"/>
            <w:vAlign w:val="center"/>
          </w:tcPr>
          <w:p>
            <w:pPr>
              <w:pStyle w:val="TableContents"/>
              <w:bidi w:val="0"/>
              <w:spacing w:before="0" w:after="283"/>
              <w:jc w:val="left"/>
              <w:rPr/>
            </w:pPr>
            <w:r>
              <w:rPr/>
              <w:t>Income (loss)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2,088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(2,230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(1,668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(1,115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(2,783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065" w:type="dxa"/>
            <w:tcBorders/>
            <w:vAlign w:val="center"/>
          </w:tcPr>
          <w:p>
            <w:pPr>
              <w:pStyle w:val="TableContents"/>
              <w:bidi w:val="0"/>
              <w:spacing w:before="0" w:after="283"/>
              <w:jc w:val="left"/>
              <w:rPr/>
            </w:pPr>
            <w:r>
              <w:rPr/>
              <w:t>Other income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6,976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w:t>
            </w:r>
          </w:p>
        </w:tc>
        <w:tc>
          <w:tcPr>
            <w:tcW w:w="170" w:type="dxa"/>
            <w:tcBorders/>
            <w:vAlign w:val="center"/>
          </w:tcPr>
          <w:p>
            <w:pPr>
              <w:pStyle w:val="TableContents"/>
              <w:bidi w:val="0"/>
              <w:spacing w:before="0" w:after="283"/>
              <w:ind w:left="0" w:right="0" w:hanging="180"/>
              <w:jc w:val="left"/>
              <w:rPr/>
            </w:pPr>
            <w:r>
              <w:rPr/>
              <w:t> </w:t>
            </w:r>
          </w:p>
        </w:tc>
      </w:tr>
      <w:tr>
        <w:trPr/>
        <w:tc>
          <w:tcPr>
            <w:tcW w:w="3065" w:type="dxa"/>
            <w:tcBorders/>
            <w:shd w:fill="CCEEFF" w:val="clear"/>
            <w:vAlign w:val="center"/>
          </w:tcPr>
          <w:p>
            <w:pPr>
              <w:pStyle w:val="TableContents"/>
              <w:bidi w:val="0"/>
              <w:spacing w:before="0" w:after="283"/>
              <w:jc w:val="left"/>
              <w:rPr/>
            </w:pPr>
            <w:r>
              <w:rPr/>
              <w:t>Loss on debt extinguishment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06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395</w:t>
            </w:r>
          </w:p>
        </w:tc>
        <w:tc>
          <w:tcPr>
            <w:tcW w:w="170" w:type="dxa"/>
            <w:tcBorders/>
            <w:vAlign w:val="center"/>
          </w:tcPr>
          <w:p>
            <w:pPr>
              <w:pStyle w:val="TableContents"/>
              <w:bidi w:val="0"/>
              <w:spacing w:before="0" w:after="283"/>
              <w:ind w:left="0" w:right="0" w:hanging="180"/>
              <w:jc w:val="left"/>
              <w:rPr/>
            </w:pPr>
            <w:r>
              <w:rPr/>
              <w:t> </w:t>
            </w:r>
          </w:p>
        </w:tc>
      </w:tr>
      <w:tr>
        <w:trPr/>
        <w:tc>
          <w:tcPr>
            <w:tcW w:w="3065"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(145</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065" w:type="dxa"/>
            <w:tcBorders/>
            <w:vAlign w:val="center"/>
          </w:tcPr>
          <w:p>
            <w:pPr>
              <w:pStyle w:val="TableContents"/>
              <w:bidi w:val="0"/>
              <w:spacing w:before="0" w:after="283"/>
              <w:jc w:val="left"/>
              <w:rPr/>
            </w:pPr>
            <w:r>
              <w:rPr/>
              <w:t>Income (loss) before provision for (benefit from)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7,567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(2,925</w:t>
            </w:r>
          </w:p>
        </w:tc>
        <w:tc>
          <w:tcPr>
            <w:tcW w:w="170" w:type="dxa"/>
            <w:tcBorders/>
            <w:vAlign w:val="center"/>
          </w:tcPr>
          <w:p>
            <w:pPr>
              <w:pStyle w:val="TableContents"/>
              <w:bidi w:val="0"/>
              <w:spacing w:before="0" w:after="283"/>
              <w:jc w:val="left"/>
              <w:rPr/>
            </w:pPr>
            <w:r>
              <w:rPr/>
              <w:t>)</w:t>
            </w:r>
          </w:p>
        </w:tc>
      </w:tr>
      <w:tr>
        <w:trPr/>
        <w:tc>
          <w:tcPr>
            <w:tcW w:w="3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(A) </w:t>
            </w:r>
            <w:r>
              <w:rPr>
                <w:rFonts w:ascii="Times New Roman;Times;Serif" w:hAnsi="Times New Roman;Times;Serif"/>
                <w:b w:val="false"/>
                <w:i w:val="false"/>
                <w:caps w:val="false"/>
                <w:smallCaps w:val="false"/>
                <w:sz w:val="20"/>
              </w:rPr>
              <w:t>Includes depreciation and amortization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2,593</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(B)</w:t>
      </w:r>
      <w:r>
        <w:rPr>
          <w:rFonts w:ascii="Times New Roman;Times;Serif" w:hAnsi="Times New Roman;Times;Serif"/>
          <w:b w:val="false"/>
          <w:i w:val="false"/>
          <w:caps w:val="false"/>
          <w:smallCaps w:val="false"/>
          <w:sz w:val="20"/>
        </w:rPr>
        <w:t xml:space="preserve"> Consist mainly of payroll and related expenses, rent, depreciation and other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(C)</w:t>
      </w:r>
      <w:r>
        <w:rPr>
          <w:rFonts w:ascii="Times New Roman;Times;Serif" w:hAnsi="Times New Roman;Times;Serif"/>
          <w:b w:val="false"/>
          <w:i w:val="false"/>
          <w:caps w:val="false"/>
          <w:smallCaps w:val="false"/>
          <w:sz w:val="20"/>
        </w:rPr>
        <w:t xml:space="preserve"> Consist mainly of payroll related expenses, rent, depreciation and other general and administrative expenses.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9"/>
        <w:gridCol w:w="90"/>
        <w:gridCol w:w="170"/>
        <w:gridCol w:w="830"/>
        <w:gridCol w:w="90"/>
        <w:gridCol w:w="90"/>
        <w:gridCol w:w="200"/>
        <w:gridCol w:w="840"/>
        <w:gridCol w:w="125"/>
        <w:gridCol w:w="90"/>
        <w:gridCol w:w="170"/>
        <w:gridCol w:w="830"/>
        <w:gridCol w:w="125"/>
        <w:gridCol w:w="90"/>
        <w:gridCol w:w="170"/>
        <w:gridCol w:w="830"/>
        <w:gridCol w:w="125"/>
        <w:gridCol w:w="90"/>
        <w:gridCol w:w="200"/>
        <w:gridCol w:w="840"/>
        <w:gridCol w:w="125"/>
        <w:gridCol w:w="90"/>
        <w:gridCol w:w="170"/>
        <w:gridCol w:w="830"/>
        <w:gridCol w:w="146"/>
      </w:tblGrid>
      <w:tr>
        <w:trPr/>
        <w:tc>
          <w:tcPr>
            <w:tcW w:w="2849"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712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46" w:type="dxa"/>
            <w:tcBorders/>
            <w:vAlign w:val="center"/>
          </w:tcPr>
          <w:p>
            <w:pPr>
              <w:pStyle w:val="TableContents"/>
              <w:bidi w:val="0"/>
              <w:spacing w:before="0" w:after="283"/>
              <w:ind w:left="0" w:right="0" w:hanging="180"/>
              <w:jc w:val="left"/>
              <w:rPr/>
            </w:pPr>
            <w:r>
              <w:rPr/>
              <w:t> </w:t>
            </w:r>
          </w:p>
        </w:tc>
      </w:tr>
      <w:tr>
        <w:trPr/>
        <w:tc>
          <w:tcPr>
            <w:tcW w:w="28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3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6" w:type="dxa"/>
            <w:tcBorders/>
            <w:vAlign w:val="center"/>
          </w:tcPr>
          <w:p>
            <w:pPr>
              <w:pStyle w:val="TableContents"/>
              <w:bidi w:val="0"/>
              <w:spacing w:before="0" w:after="283"/>
              <w:ind w:left="0" w:right="0" w:hanging="180"/>
              <w:jc w:val="left"/>
              <w:rPr/>
            </w:pPr>
            <w:r>
              <w:rPr/>
              <w:t> </w:t>
            </w:r>
          </w:p>
        </w:tc>
      </w:tr>
      <w:tr>
        <w:trPr/>
        <w:tc>
          <w:tcPr>
            <w:tcW w:w="28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TCP</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Costumes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TCP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Costumes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46" w:type="dxa"/>
            <w:tcBorders/>
            <w:vAlign w:val="center"/>
          </w:tcPr>
          <w:p>
            <w:pPr>
              <w:pStyle w:val="TableContents"/>
              <w:bidi w:val="0"/>
              <w:spacing w:before="0" w:after="283"/>
              <w:ind w:left="0" w:right="0" w:hanging="180"/>
              <w:jc w:val="left"/>
              <w:rPr/>
            </w:pPr>
            <w:r>
              <w:rPr/>
              <w:t> </w:t>
            </w:r>
          </w:p>
        </w:tc>
      </w:tr>
      <w:tr>
        <w:trPr/>
        <w:tc>
          <w:tcPr>
            <w:tcW w:w="2849"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197,602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48,312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245,914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187,817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44,530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232,347</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2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Sales </w:t>
            </w:r>
            <w:r>
              <w:rPr>
                <w:rFonts w:ascii="Times New Roman;Times;Serif" w:hAnsi="Times New Roman;Times;Serif"/>
                <w:position w:val="7"/>
                <w:sz w:val="16"/>
                <w:sz w:val="20"/>
              </w:rPr>
              <w:t>(A)</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130,119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single" w:sz="8" w:space="0" w:color="000000"/>
            </w:tcBorders>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tcMar>
              <w:bottom w:w="28" w:type="dxa"/>
            </w:tcMar>
            <w:vAlign w:val="center"/>
          </w:tcPr>
          <w:p>
            <w:pPr>
              <w:pStyle w:val="TableContents"/>
              <w:bidi w:val="0"/>
              <w:spacing w:before="0" w:after="283"/>
              <w:jc w:val="right"/>
              <w:rPr/>
            </w:pPr>
            <w:r>
              <w:rPr/>
              <w:t>35,228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165,347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122,532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single" w:sz="8" w:space="0" w:color="000000"/>
            </w:tcBorders>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tcMar>
              <w:bottom w:w="28" w:type="dxa"/>
            </w:tcMar>
            <w:vAlign w:val="center"/>
          </w:tcPr>
          <w:p>
            <w:pPr>
              <w:pStyle w:val="TableContents"/>
              <w:bidi w:val="0"/>
              <w:spacing w:before="0" w:after="283"/>
              <w:jc w:val="right"/>
              <w:rPr/>
            </w:pPr>
            <w:r>
              <w:rPr/>
              <w:t>31,779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154,311</w:t>
            </w:r>
          </w:p>
        </w:tc>
        <w:tc>
          <w:tcPr>
            <w:tcW w:w="146" w:type="dxa"/>
            <w:tcBorders/>
            <w:vAlign w:val="center"/>
          </w:tcPr>
          <w:p>
            <w:pPr>
              <w:pStyle w:val="TableContents"/>
              <w:bidi w:val="0"/>
              <w:spacing w:before="0" w:after="283"/>
              <w:ind w:left="0" w:right="0" w:hanging="180"/>
              <w:jc w:val="left"/>
              <w:rPr/>
            </w:pPr>
            <w:r>
              <w:rPr/>
              <w:t> </w:t>
            </w:r>
          </w:p>
        </w:tc>
      </w:tr>
      <w:tr>
        <w:trPr/>
        <w:tc>
          <w:tcPr>
            <w:tcW w:w="2849"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67,483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13,084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80,567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65,285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12,751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78,036</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28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ind w:left="0" w:right="0" w:hanging="180"/>
              <w:jc w:val="left"/>
              <w:rPr/>
            </w:pPr>
            <w:r>
              <w:rPr/>
              <w:t> </w:t>
            </w:r>
          </w:p>
        </w:tc>
      </w:tr>
      <w:tr>
        <w:trPr/>
        <w:tc>
          <w:tcPr>
            <w:tcW w:w="2849" w:type="dxa"/>
            <w:tcBorders/>
            <w:shd w:fill="CCEEFF" w:val="clear"/>
            <w:vAlign w:val="center"/>
          </w:tcPr>
          <w:p>
            <w:pPr>
              <w:pStyle w:val="TableContents"/>
              <w:bidi w:val="0"/>
              <w:spacing w:before="0" w:after="283"/>
              <w:jc w:val="left"/>
              <w:rPr/>
            </w:pPr>
            <w:r>
              <w:rPr/>
              <w:t>Direct selling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13,181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3,483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16,664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12,954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2,452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15,406</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2849" w:type="dxa"/>
            <w:tcBorders/>
            <w:vAlign w:val="center"/>
          </w:tcPr>
          <w:p>
            <w:pPr>
              <w:pStyle w:val="TableContents"/>
              <w:bidi w:val="0"/>
              <w:spacing w:before="0" w:after="283"/>
              <w:jc w:val="left"/>
              <w:rPr/>
            </w:pPr>
            <w:r>
              <w:rPr/>
              <w:t>Product development and testing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4,309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1,096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5,405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4,195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1,273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5,468</w:t>
            </w:r>
          </w:p>
        </w:tc>
        <w:tc>
          <w:tcPr>
            <w:tcW w:w="146" w:type="dxa"/>
            <w:tcBorders/>
            <w:vAlign w:val="center"/>
          </w:tcPr>
          <w:p>
            <w:pPr>
              <w:pStyle w:val="TableContents"/>
              <w:bidi w:val="0"/>
              <w:spacing w:before="0" w:after="283"/>
              <w:ind w:left="0" w:right="0" w:hanging="180"/>
              <w:jc w:val="left"/>
              <w:rPr/>
            </w:pPr>
            <w:r>
              <w:rPr/>
              <w:t> </w:t>
            </w:r>
          </w:p>
        </w:tc>
      </w:tr>
      <w:tr>
        <w:trPr/>
        <w:tc>
          <w:tcPr>
            <w:tcW w:w="28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Divisional general and administrative expenses </w:t>
            </w:r>
            <w:r>
              <w:rPr>
                <w:rFonts w:ascii="Times New Roman;Times;Serif" w:hAnsi="Times New Roman;Times;Serif"/>
                <w:position w:val="7"/>
                <w:sz w:val="16"/>
                <w:sz w:val="20"/>
              </w:rPr>
              <w:t>(A), (B)</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5,640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16,783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11,362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6,188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17,550</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2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Allocated headquarter general &amp; administrative expenses </w:t>
            </w:r>
            <w:r>
              <w:rPr>
                <w:rFonts w:ascii="Times New Roman;Times;Serif" w:hAnsi="Times New Roman;Times;Serif"/>
                <w:position w:val="7"/>
                <w:sz w:val="16"/>
                <w:sz w:val="20"/>
              </w:rPr>
              <w:t>(A), (C)</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38,468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single" w:sz="8" w:space="0" w:color="000000"/>
            </w:tcBorders>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tcMar>
              <w:bottom w:w="28" w:type="dxa"/>
            </w:tcMar>
            <w:vAlign w:val="center"/>
          </w:tcPr>
          <w:p>
            <w:pPr>
              <w:pStyle w:val="TableContents"/>
              <w:bidi w:val="0"/>
              <w:spacing w:before="0" w:after="283"/>
              <w:jc w:val="right"/>
              <w:rPr/>
            </w:pPr>
            <w:r>
              <w:rPr/>
              <w:t>8,963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47,431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37,522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single" w:sz="8" w:space="0" w:color="000000"/>
            </w:tcBorders>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tcMar>
              <w:bottom w:w="28" w:type="dxa"/>
            </w:tcMar>
            <w:vAlign w:val="center"/>
          </w:tcPr>
          <w:p>
            <w:pPr>
              <w:pStyle w:val="TableContents"/>
              <w:bidi w:val="0"/>
              <w:spacing w:before="0" w:after="283"/>
              <w:jc w:val="right"/>
              <w:rPr/>
            </w:pPr>
            <w:r>
              <w:rPr/>
              <w:t>8,630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46,152</w:t>
            </w:r>
          </w:p>
        </w:tc>
        <w:tc>
          <w:tcPr>
            <w:tcW w:w="146" w:type="dxa"/>
            <w:tcBorders/>
            <w:vAlign w:val="center"/>
          </w:tcPr>
          <w:p>
            <w:pPr>
              <w:pStyle w:val="TableContents"/>
              <w:bidi w:val="0"/>
              <w:spacing w:before="0" w:after="283"/>
              <w:ind w:left="0" w:right="0" w:hanging="180"/>
              <w:jc w:val="left"/>
              <w:rPr/>
            </w:pPr>
            <w:r>
              <w:rPr/>
              <w:t> </w:t>
            </w:r>
          </w:p>
        </w:tc>
      </w:tr>
      <w:tr>
        <w:trPr/>
        <w:tc>
          <w:tcPr>
            <w:tcW w:w="2849" w:type="dxa"/>
            <w:tcBorders/>
            <w:shd w:fill="CCEEFF" w:val="clear"/>
            <w:vAlign w:val="center"/>
          </w:tcPr>
          <w:p>
            <w:pPr>
              <w:pStyle w:val="TableContents"/>
              <w:bidi w:val="0"/>
              <w:spacing w:before="0" w:after="283"/>
              <w:jc w:val="left"/>
              <w:rPr/>
            </w:pPr>
            <w:r>
              <w:rPr/>
              <w:t>Income (loss)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(6,098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(5,716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(748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(5,792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(6,540</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2849" w:type="dxa"/>
            <w:tcBorders/>
            <w:vAlign w:val="center"/>
          </w:tcPr>
          <w:p>
            <w:pPr>
              <w:pStyle w:val="TableContents"/>
              <w:bidi w:val="0"/>
              <w:spacing w:before="0" w:after="283"/>
              <w:jc w:val="left"/>
              <w:rPr/>
            </w:pPr>
            <w:r>
              <w:rPr/>
              <w:t>Other income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7,001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30</w:t>
            </w:r>
          </w:p>
        </w:tc>
        <w:tc>
          <w:tcPr>
            <w:tcW w:w="146" w:type="dxa"/>
            <w:tcBorders/>
            <w:vAlign w:val="center"/>
          </w:tcPr>
          <w:p>
            <w:pPr>
              <w:pStyle w:val="TableContents"/>
              <w:bidi w:val="0"/>
              <w:spacing w:before="0" w:after="283"/>
              <w:ind w:left="0" w:right="0" w:hanging="180"/>
              <w:jc w:val="left"/>
              <w:rPr/>
            </w:pPr>
            <w:r>
              <w:rPr/>
              <w:t> </w:t>
            </w:r>
          </w:p>
        </w:tc>
      </w:tr>
      <w:tr>
        <w:trPr/>
        <w:tc>
          <w:tcPr>
            <w:tcW w:w="2849" w:type="dxa"/>
            <w:tcBorders/>
            <w:shd w:fill="CCEEFF" w:val="clear"/>
            <w:vAlign w:val="center"/>
          </w:tcPr>
          <w:p>
            <w:pPr>
              <w:pStyle w:val="TableContents"/>
              <w:bidi w:val="0"/>
              <w:spacing w:before="0" w:after="283"/>
              <w:jc w:val="left"/>
              <w:rPr/>
            </w:pPr>
            <w:r>
              <w:rPr/>
              <w:t>Loss on debt extinguishment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(417</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2849"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757</w:t>
            </w:r>
          </w:p>
        </w:tc>
        <w:tc>
          <w:tcPr>
            <w:tcW w:w="146" w:type="dxa"/>
            <w:tcBorders/>
            <w:vAlign w:val="center"/>
          </w:tcPr>
          <w:p>
            <w:pPr>
              <w:pStyle w:val="TableContents"/>
              <w:bidi w:val="0"/>
              <w:spacing w:before="0" w:after="283"/>
              <w:ind w:left="0" w:right="0" w:hanging="180"/>
              <w:jc w:val="left"/>
              <w:rPr/>
            </w:pPr>
            <w:r>
              <w:rPr/>
              <w:t> </w:t>
            </w:r>
          </w:p>
        </w:tc>
      </w:tr>
      <w:tr>
        <w:trPr/>
        <w:tc>
          <w:tcPr>
            <w:tcW w:w="2849"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2849" w:type="dxa"/>
            <w:tcBorders/>
            <w:vAlign w:val="center"/>
          </w:tcPr>
          <w:p>
            <w:pPr>
              <w:pStyle w:val="TableContents"/>
              <w:bidi w:val="0"/>
              <w:spacing w:before="0" w:after="283"/>
              <w:jc w:val="left"/>
              <w:rPr/>
            </w:pPr>
            <w:r>
              <w:rPr/>
              <w:t>Income (loss) before provision for (benefit from)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2,438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(6,470</w:t>
            </w:r>
          </w:p>
        </w:tc>
        <w:tc>
          <w:tcPr>
            <w:tcW w:w="146" w:type="dxa"/>
            <w:tcBorders/>
            <w:vAlign w:val="center"/>
          </w:tcPr>
          <w:p>
            <w:pPr>
              <w:pStyle w:val="TableContents"/>
              <w:bidi w:val="0"/>
              <w:spacing w:before="0" w:after="283"/>
              <w:ind w:left="0" w:right="0" w:hanging="180"/>
              <w:jc w:val="left"/>
              <w:rPr/>
            </w:pPr>
            <w:r>
              <w:rPr/>
              <w:t>)</w:t>
            </w:r>
          </w:p>
        </w:tc>
      </w:tr>
      <w:tr>
        <w:trPr/>
        <w:tc>
          <w:tcPr>
            <w:tcW w:w="28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ind w:left="0" w:right="0" w:hanging="180"/>
              <w:jc w:val="left"/>
              <w:rPr/>
            </w:pPr>
            <w:r>
              <w:rPr/>
              <w:t> </w:t>
            </w:r>
          </w:p>
        </w:tc>
      </w:tr>
      <w:tr>
        <w:trPr/>
        <w:tc>
          <w:tcPr>
            <w:tcW w:w="2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Includes depreciation and amortization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4,715</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3,409</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3,459</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(B)</w:t>
      </w:r>
      <w:r>
        <w:rPr>
          <w:rFonts w:ascii="Times New Roman;Times;Serif" w:hAnsi="Times New Roman;Times;Serif"/>
          <w:b w:val="false"/>
          <w:i w:val="false"/>
          <w:caps w:val="false"/>
          <w:smallCaps w:val="false"/>
          <w:sz w:val="20"/>
        </w:rPr>
        <w:t xml:space="preserve"> Consist mainly of payroll and related expenses, rent, depreciation and other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(C)</w:t>
      </w:r>
      <w:r>
        <w:rPr>
          <w:rFonts w:ascii="Times New Roman;Times;Serif" w:hAnsi="Times New Roman;Times;Serif"/>
          <w:b w:val="false"/>
          <w:i w:val="false"/>
          <w:caps w:val="false"/>
          <w:smallCaps w:val="false"/>
          <w:sz w:val="20"/>
        </w:rPr>
        <w:t xml:space="preserve"> Consist mainly of payroll related expenses, rent, depreciation and other general and administrative expenses.</w:t>
      </w:r>
    </w:p>
    <w:p>
      <w:pPr>
        <w:pStyle w:val="TextBody"/>
        <w:bidi w:val="0"/>
        <w:spacing w:before="0" w:after="0"/>
        <w:ind w:left="0" w:right="0" w:hanging="0"/>
        <w:jc w:val="left"/>
        <w:rPr>
          <w:caps w:val="false"/>
          <w:smallCaps w:val="false"/>
        </w:rPr>
      </w:pPr>
      <w:r>
        <w:rPr>
          <w:caps w:val="false"/>
          <w:smallCaps w:val="false"/>
        </w:rPr>
        <w:t> </w:t>
      </w:r>
    </w:p>
    <w:tbl>
      <w:tblPr>
        <w:tblW w:w="5314" w:type="dxa"/>
        <w:jc w:val="left"/>
        <w:tblInd w:w="0" w:type="dxa"/>
        <w:tblLayout w:type="fixed"/>
        <w:tblCellMar>
          <w:top w:w="0" w:type="dxa"/>
          <w:left w:w="0" w:type="dxa"/>
          <w:bottom w:w="0" w:type="dxa"/>
          <w:right w:w="0" w:type="dxa"/>
        </w:tblCellMar>
      </w:tblPr>
      <w:tblGrid>
        <w:gridCol w:w="2465"/>
        <w:gridCol w:w="90"/>
        <w:gridCol w:w="170"/>
        <w:gridCol w:w="830"/>
        <w:gridCol w:w="90"/>
        <w:gridCol w:w="90"/>
        <w:gridCol w:w="245"/>
        <w:gridCol w:w="1199"/>
        <w:gridCol w:w="135"/>
      </w:tblGrid>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Toys/Consumer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381,647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419,064</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Costumes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66,846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8" w:space="0" w:color="000000"/>
            </w:tcBorders>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tcMar>
              <w:bottom w:w="28" w:type="dxa"/>
            </w:tcMar>
            <w:vAlign w:val="center"/>
          </w:tcPr>
          <w:p>
            <w:pPr>
              <w:pStyle w:val="TableContents"/>
              <w:bidi w:val="0"/>
              <w:spacing w:before="0" w:after="283"/>
              <w:jc w:val="right"/>
              <w:rPr/>
            </w:pPr>
            <w:r>
              <w:rPr/>
              <w:t>23,133</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448,493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442,197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are categorized based upon location of the customer, while long-lived assets are categorized based upon the location of the Company’s assets. The following tables present information about the Company by geographic area as of June 30, 2026 and December 31, 2025 and for the 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4603" w:type="dxa"/>
        <w:jc w:val="left"/>
        <w:tblInd w:w="0" w:type="dxa"/>
        <w:tblLayout w:type="fixed"/>
        <w:tblCellMar>
          <w:top w:w="0" w:type="dxa"/>
          <w:left w:w="0" w:type="dxa"/>
          <w:bottom w:w="0" w:type="dxa"/>
          <w:right w:w="0" w:type="dxa"/>
        </w:tblCellMar>
      </w:tblPr>
      <w:tblGrid>
        <w:gridCol w:w="1850"/>
        <w:gridCol w:w="90"/>
        <w:gridCol w:w="174"/>
        <w:gridCol w:w="730"/>
        <w:gridCol w:w="90"/>
        <w:gridCol w:w="90"/>
        <w:gridCol w:w="278"/>
        <w:gridCol w:w="1166"/>
        <w:gridCol w:w="135"/>
      </w:tblGrid>
      <w:tr>
        <w:trPr/>
        <w:tc>
          <w:tcPr>
            <w:tcW w:w="1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b/>
              </w:rPr>
            </w:pPr>
            <w:r>
              <w:rPr>
                <w:b/>
              </w:rPr>
              <w:t>Long-lived Assets</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United States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38,486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42,788</w:t>
            </w:r>
          </w:p>
        </w:tc>
        <w:tc>
          <w:tcPr>
            <w:tcW w:w="13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China</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19,935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16,659</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United Kingdom</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2,903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3,073</w:t>
            </w:r>
          </w:p>
        </w:tc>
        <w:tc>
          <w:tcPr>
            <w:tcW w:w="13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Hong Kong</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1,489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1,853</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Others combined</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1,290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1,411</w:t>
            </w:r>
          </w:p>
        </w:tc>
        <w:tc>
          <w:tcPr>
            <w:tcW w:w="13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pPr>
            <w:r>
              <w:rPr/>
              <w:t>$</w:t>
            </w:r>
          </w:p>
        </w:tc>
        <w:tc>
          <w:tcPr>
            <w:tcW w:w="730" w:type="dxa"/>
            <w:tcBorders>
              <w:bottom w:val="double" w:sz="6" w:space="0" w:color="000000"/>
            </w:tcBorders>
            <w:tcMar>
              <w:bottom w:w="28" w:type="dxa"/>
            </w:tcMar>
            <w:vAlign w:val="center"/>
          </w:tcPr>
          <w:p>
            <w:pPr>
              <w:pStyle w:val="TableContents"/>
              <w:bidi w:val="0"/>
              <w:spacing w:before="0" w:after="283"/>
              <w:jc w:val="right"/>
              <w:rPr/>
            </w:pPr>
            <w:r>
              <w:rPr/>
              <w:t>64,103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6" w:space="0" w:color="000000"/>
            </w:tcBorders>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tcMar>
              <w:bottom w:w="28" w:type="dxa"/>
            </w:tcMar>
            <w:vAlign w:val="center"/>
          </w:tcPr>
          <w:p>
            <w:pPr>
              <w:pStyle w:val="TableContents"/>
              <w:bidi w:val="0"/>
              <w:spacing w:before="0" w:after="283"/>
              <w:jc w:val="right"/>
              <w:rPr/>
            </w:pPr>
            <w:r>
              <w:rPr/>
              <w:t>65,784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66" w:type="dxa"/>
        <w:jc w:val="left"/>
        <w:tblInd w:w="0" w:type="dxa"/>
        <w:tblLayout w:type="fixed"/>
        <w:tblCellMar>
          <w:top w:w="0" w:type="dxa"/>
          <w:left w:w="0" w:type="dxa"/>
          <w:bottom w:w="0" w:type="dxa"/>
          <w:right w:w="0" w:type="dxa"/>
        </w:tblCellMar>
      </w:tblPr>
      <w:tblGrid>
        <w:gridCol w:w="2945"/>
        <w:gridCol w:w="90"/>
        <w:gridCol w:w="174"/>
        <w:gridCol w:w="852"/>
        <w:gridCol w:w="92"/>
        <w:gridCol w:w="92"/>
        <w:gridCol w:w="174"/>
        <w:gridCol w:w="852"/>
        <w:gridCol w:w="90"/>
        <w:gridCol w:w="90"/>
        <w:gridCol w:w="170"/>
        <w:gridCol w:w="830"/>
        <w:gridCol w:w="90"/>
        <w:gridCol w:w="90"/>
        <w:gridCol w:w="170"/>
        <w:gridCol w:w="830"/>
        <w:gridCol w:w="135"/>
      </w:tblGrid>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6"/>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0" w:type="dxa"/>
            <w:gridSpan w:val="6"/>
            <w:tcBorders/>
            <w:vAlign w:val="center"/>
          </w:tcPr>
          <w:p>
            <w:pPr>
              <w:pStyle w:val="TableContents"/>
              <w:bidi w:val="0"/>
              <w:spacing w:before="0" w:after="283"/>
              <w:jc w:val="center"/>
              <w:rPr>
                <w:b/>
              </w:rPr>
            </w:pPr>
            <w:r>
              <w:rPr>
                <w:b/>
              </w:rPr>
              <w:t>Six Months Ended</w:t>
            </w:r>
          </w:p>
        </w:tc>
        <w:tc>
          <w:tcPr>
            <w:tcW w:w="13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3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b/>
              </w:rPr>
            </w:pPr>
            <w:r>
              <w:rPr>
                <w:b/>
              </w:rPr>
              <w:t>Net Sales by Customer Area</w:t>
            </w:r>
          </w:p>
        </w:tc>
        <w:tc>
          <w:tcPr>
            <w:tcW w:w="90" w:type="dxa"/>
            <w:tcBorders/>
            <w:vAlign w:val="center"/>
          </w:tcPr>
          <w:p>
            <w:pPr>
              <w:pStyle w:val="TableContents"/>
              <w:bidi w:val="0"/>
              <w:spacing w:before="0" w:after="283"/>
              <w:jc w:val="left"/>
              <w:rPr/>
            </w:pPr>
            <w:r>
              <w:rPr/>
              <w:t> </w:t>
            </w:r>
          </w:p>
        </w:tc>
        <w:tc>
          <w:tcPr>
            <w:tcW w:w="1026"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26"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United States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108,251</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86,990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182,887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175,934</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Europe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16,021</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14,657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33,400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26,467</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Canada</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7,080</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8,826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10,072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12,105</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Latin America</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4,137</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6,047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11,099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13,506</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Asia</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2,216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1,448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2,199</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Australia &amp; New Zealand</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1,533</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886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4,002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1,499</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Middle East &amp; Africa</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240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637</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tcMar>
              <w:bottom w:w="28" w:type="dxa"/>
            </w:tcMar>
            <w:vAlign w:val="center"/>
          </w:tcPr>
          <w:p>
            <w:pPr>
              <w:pStyle w:val="TableContents"/>
              <w:bidi w:val="0"/>
              <w:spacing w:before="0" w:after="283"/>
              <w:jc w:val="right"/>
              <w:rPr/>
            </w:pPr>
            <w:r>
              <w:rPr/>
              <w:t>139,238</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tcMar>
              <w:bottom w:w="28" w:type="dxa"/>
            </w:tcMar>
            <w:vAlign w:val="center"/>
          </w:tcPr>
          <w:p>
            <w:pPr>
              <w:pStyle w:val="TableContents"/>
              <w:bidi w:val="0"/>
              <w:spacing w:before="0" w:after="283"/>
              <w:jc w:val="right"/>
              <w:rPr/>
            </w:pPr>
            <w:r>
              <w:rPr/>
              <w:t>119,094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245,914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232,347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to major customers globally for the three and six months ended June 30, 2026 and 2025 were as follows (in thousands, except for percentages):</w:t>
      </w:r>
    </w:p>
    <w:p>
      <w:pPr>
        <w:pStyle w:val="TextBody"/>
        <w:bidi w:val="0"/>
        <w:spacing w:before="0" w:after="0"/>
        <w:ind w:left="0" w:right="0" w:hanging="0"/>
        <w:jc w:val="left"/>
        <w:rPr>
          <w:caps w:val="false"/>
          <w:smallCaps w:val="false"/>
        </w:rPr>
      </w:pPr>
      <w:r>
        <w:rPr>
          <w:caps w:val="false"/>
          <w:smallCaps w:val="false"/>
        </w:rPr>
        <w:t> </w:t>
      </w:r>
    </w:p>
    <w:tbl>
      <w:tblPr>
        <w:tblW w:w="11520" w:type="dxa"/>
        <w:jc w:val="left"/>
        <w:tblInd w:w="0" w:type="dxa"/>
        <w:tblLayout w:type="fixed"/>
        <w:tblCellMar>
          <w:top w:w="0" w:type="dxa"/>
          <w:left w:w="0" w:type="dxa"/>
          <w:bottom w:w="0" w:type="dxa"/>
          <w:right w:w="0" w:type="dxa"/>
        </w:tblCellMar>
      </w:tblPr>
      <w:tblGrid>
        <w:gridCol w:w="875"/>
        <w:gridCol w:w="90"/>
        <w:gridCol w:w="171"/>
        <w:gridCol w:w="719"/>
        <w:gridCol w:w="90"/>
        <w:gridCol w:w="90"/>
        <w:gridCol w:w="188"/>
        <w:gridCol w:w="987"/>
        <w:gridCol w:w="245"/>
        <w:gridCol w:w="90"/>
        <w:gridCol w:w="171"/>
        <w:gridCol w:w="719"/>
        <w:gridCol w:w="90"/>
        <w:gridCol w:w="90"/>
        <w:gridCol w:w="188"/>
        <w:gridCol w:w="987"/>
        <w:gridCol w:w="245"/>
        <w:gridCol w:w="90"/>
        <w:gridCol w:w="170"/>
        <w:gridCol w:w="830"/>
        <w:gridCol w:w="90"/>
        <w:gridCol w:w="90"/>
        <w:gridCol w:w="188"/>
        <w:gridCol w:w="987"/>
        <w:gridCol w:w="245"/>
        <w:gridCol w:w="90"/>
        <w:gridCol w:w="170"/>
        <w:gridCol w:w="830"/>
        <w:gridCol w:w="90"/>
        <w:gridCol w:w="90"/>
        <w:gridCol w:w="197"/>
        <w:gridCol w:w="1038"/>
        <w:gridCol w:w="290"/>
      </w:tblGrid>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2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9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Percentage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Percentage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Percentage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 Net Sales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 Net Sales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 Net Sales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 Net Sales</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Walmart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719" w:type="dxa"/>
            <w:tcBorders/>
            <w:shd w:fill="CCEEFF" w:val="clear"/>
            <w:vAlign w:val="center"/>
          </w:tcPr>
          <w:p>
            <w:pPr>
              <w:pStyle w:val="TableContents"/>
              <w:bidi w:val="0"/>
              <w:spacing w:before="0" w:after="283"/>
              <w:jc w:val="right"/>
              <w:rPr/>
            </w:pPr>
            <w:r>
              <w:rPr/>
              <w:t>47,700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34.3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719" w:type="dxa"/>
            <w:tcBorders/>
            <w:shd w:fill="CCEEFF" w:val="clear"/>
            <w:vAlign w:val="center"/>
          </w:tcPr>
          <w:p>
            <w:pPr>
              <w:pStyle w:val="TableContents"/>
              <w:bidi w:val="0"/>
              <w:spacing w:before="0" w:after="283"/>
              <w:jc w:val="right"/>
              <w:rPr/>
            </w:pPr>
            <w:r>
              <w:rPr/>
              <w:t>33,320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28.0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74,807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30.4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69,999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30.1</w:t>
            </w:r>
          </w:p>
        </w:tc>
        <w:tc>
          <w:tcPr>
            <w:tcW w:w="290" w:type="dxa"/>
            <w:tcBorders/>
            <w:shd w:fill="CCEEFF" w:val="clear"/>
            <w:vAlign w:val="center"/>
          </w:tcPr>
          <w:p>
            <w:pPr>
              <w:pStyle w:val="TableContents"/>
              <w:bidi w:val="0"/>
              <w:spacing w:before="0" w:after="283"/>
              <w:jc w:val="left"/>
              <w:rPr/>
            </w:pPr>
            <w:r>
              <w:rPr/>
              <w:t>%</w:t>
            </w:r>
          </w:p>
        </w:tc>
      </w:tr>
      <w:tr>
        <w:trPr/>
        <w:tc>
          <w:tcPr>
            <w:tcW w:w="875" w:type="dxa"/>
            <w:tcBorders/>
            <w:vAlign w:val="center"/>
          </w:tcPr>
          <w:p>
            <w:pPr>
              <w:pStyle w:val="TableContents"/>
              <w:bidi w:val="0"/>
              <w:spacing w:before="0" w:after="283"/>
              <w:jc w:val="left"/>
              <w:rPr/>
            </w:pPr>
            <w:r>
              <w:rPr/>
              <w:t>Target</w:t>
            </w:r>
          </w:p>
        </w:tc>
        <w:tc>
          <w:tcPr>
            <w:tcW w:w="90"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tcMar>
              <w:bottom w:w="28" w:type="dxa"/>
            </w:tcMar>
            <w:vAlign w:val="center"/>
          </w:tcPr>
          <w:p>
            <w:pPr>
              <w:pStyle w:val="TableContents"/>
              <w:bidi w:val="0"/>
              <w:spacing w:before="0" w:after="283"/>
              <w:jc w:val="right"/>
              <w:rPr/>
            </w:pPr>
            <w:r>
              <w:rPr/>
              <w:t>32,760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tcMar>
              <w:bottom w:w="28" w:type="dxa"/>
            </w:tcMar>
            <w:vAlign w:val="center"/>
          </w:tcPr>
          <w:p>
            <w:pPr>
              <w:pStyle w:val="TableContents"/>
              <w:bidi w:val="0"/>
              <w:spacing w:before="0" w:after="283"/>
              <w:jc w:val="right"/>
              <w:rPr/>
            </w:pPr>
            <w:r>
              <w:rPr/>
              <w:t>23.5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tcMar>
              <w:bottom w:w="28" w:type="dxa"/>
            </w:tcMar>
            <w:vAlign w:val="center"/>
          </w:tcPr>
          <w:p>
            <w:pPr>
              <w:pStyle w:val="TableContents"/>
              <w:bidi w:val="0"/>
              <w:spacing w:before="0" w:after="283"/>
              <w:jc w:val="right"/>
              <w:rPr/>
            </w:pPr>
            <w:r>
              <w:rPr/>
              <w:t>30,630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tcMar>
              <w:bottom w:w="28" w:type="dxa"/>
            </w:tcMar>
            <w:vAlign w:val="center"/>
          </w:tcPr>
          <w:p>
            <w:pPr>
              <w:pStyle w:val="TableContents"/>
              <w:bidi w:val="0"/>
              <w:spacing w:before="0" w:after="283"/>
              <w:jc w:val="right"/>
              <w:rPr/>
            </w:pPr>
            <w:r>
              <w:rPr/>
              <w:t>25.7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59,405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tcMar>
              <w:bottom w:w="28" w:type="dxa"/>
            </w:tcMar>
            <w:vAlign w:val="center"/>
          </w:tcPr>
          <w:p>
            <w:pPr>
              <w:pStyle w:val="TableContents"/>
              <w:bidi w:val="0"/>
              <w:spacing w:before="0" w:after="283"/>
              <w:jc w:val="right"/>
              <w:rPr/>
            </w:pPr>
            <w:r>
              <w:rPr/>
              <w:t>24.2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60,074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tcMar>
              <w:bottom w:w="28" w:type="dxa"/>
            </w:tcMar>
            <w:vAlign w:val="center"/>
          </w:tcPr>
          <w:p>
            <w:pPr>
              <w:pStyle w:val="TableContents"/>
              <w:bidi w:val="0"/>
              <w:spacing w:before="0" w:after="283"/>
              <w:jc w:val="right"/>
              <w:rPr/>
            </w:pPr>
            <w:r>
              <w:rPr/>
              <w:t>25.9</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9" w:type="dxa"/>
            <w:tcBorders>
              <w:bottom w:val="double" w:sz="6" w:space="0" w:color="000000"/>
            </w:tcBorders>
            <w:shd w:fill="CCEEFF" w:val="clear"/>
            <w:tcMar>
              <w:bottom w:w="28" w:type="dxa"/>
            </w:tcMar>
            <w:vAlign w:val="center"/>
          </w:tcPr>
          <w:p>
            <w:pPr>
              <w:pStyle w:val="TableContents"/>
              <w:bidi w:val="0"/>
              <w:spacing w:before="0" w:after="283"/>
              <w:jc w:val="right"/>
              <w:rPr/>
            </w:pPr>
            <w:r>
              <w:rPr/>
              <w:t>80,460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double" w:sz="6" w:space="0" w:color="000000"/>
            </w:tcBorders>
            <w:shd w:fill="CCEEFF" w:val="clear"/>
            <w:tcMar>
              <w:bottom w:w="28" w:type="dxa"/>
            </w:tcMar>
            <w:vAlign w:val="center"/>
          </w:tcPr>
          <w:p>
            <w:pPr>
              <w:pStyle w:val="TableContents"/>
              <w:bidi w:val="0"/>
              <w:spacing w:before="0" w:after="283"/>
              <w:jc w:val="right"/>
              <w:rPr/>
            </w:pPr>
            <w:r>
              <w:rPr/>
              <w:t>57.8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9" w:type="dxa"/>
            <w:tcBorders>
              <w:bottom w:val="double" w:sz="6" w:space="0" w:color="000000"/>
            </w:tcBorders>
            <w:shd w:fill="CCEEFF" w:val="clear"/>
            <w:tcMar>
              <w:bottom w:w="28" w:type="dxa"/>
            </w:tcMar>
            <w:vAlign w:val="center"/>
          </w:tcPr>
          <w:p>
            <w:pPr>
              <w:pStyle w:val="TableContents"/>
              <w:bidi w:val="0"/>
              <w:spacing w:before="0" w:after="283"/>
              <w:jc w:val="right"/>
              <w:rPr/>
            </w:pPr>
            <w:r>
              <w:rPr/>
              <w:t>63,950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double" w:sz="6" w:space="0" w:color="000000"/>
            </w:tcBorders>
            <w:shd w:fill="CCEEFF" w:val="clear"/>
            <w:tcMar>
              <w:bottom w:w="28" w:type="dxa"/>
            </w:tcMar>
            <w:vAlign w:val="center"/>
          </w:tcPr>
          <w:p>
            <w:pPr>
              <w:pStyle w:val="TableContents"/>
              <w:bidi w:val="0"/>
              <w:spacing w:before="0" w:after="283"/>
              <w:jc w:val="right"/>
              <w:rPr/>
            </w:pPr>
            <w:r>
              <w:rPr/>
              <w:t>53.7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134,212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double" w:sz="6" w:space="0" w:color="000000"/>
            </w:tcBorders>
            <w:shd w:fill="CCEEFF" w:val="clear"/>
            <w:tcMar>
              <w:bottom w:w="28" w:type="dxa"/>
            </w:tcMar>
            <w:vAlign w:val="center"/>
          </w:tcPr>
          <w:p>
            <w:pPr>
              <w:pStyle w:val="TableContents"/>
              <w:bidi w:val="0"/>
              <w:spacing w:before="0" w:after="283"/>
              <w:jc w:val="right"/>
              <w:rPr/>
            </w:pPr>
            <w:r>
              <w:rPr/>
              <w:t>54.6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130,073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double" w:sz="6" w:space="0" w:color="000000"/>
            </w:tcBorders>
            <w:shd w:fill="CCEEFF" w:val="clear"/>
            <w:tcMar>
              <w:bottom w:w="28" w:type="dxa"/>
            </w:tcMar>
            <w:vAlign w:val="center"/>
          </w:tcPr>
          <w:p>
            <w:pPr>
              <w:pStyle w:val="TableContents"/>
              <w:bidi w:val="0"/>
              <w:spacing w:before="0" w:after="283"/>
              <w:jc w:val="right"/>
              <w:rPr/>
            </w:pPr>
            <w:r>
              <w:rPr/>
              <w:t>56.0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2"/>
        <w:gridCol w:w="9965"/>
      </w:tblGrid>
      <w:tr>
        <w:trPr/>
        <w:tc>
          <w:tcPr>
            <w:tcW w:w="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During the year ended December 31, 2025, the Company determined that, in prior periods, net sales to two subsidiaries of Walmart Inc., were not aggregated with net sales to Walmart Inc. in the major customer disclosure under ASC 280-10-50-42. Because these entities are under common control, such sales should be presented as revenues from a single customer. Accordingly, prior-period amounts have been revised to aggregate these net sales amounts to Walmart Inc. and its subsidiaries. This revision affected only the major customer disclosure and had no impact on the Company’s condensed consolidated financial statements for any period presented. The Company concluded that the revision was not material to previously issued financial statements.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customer accounted for more than 10% of the Company’s total net sales.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concentration of the Company’s business with a relatively small number of customers may expose the Company to material adverse effects if one or more of its large customers were to experience financial difficulty. The Company performs ongoing credit evaluations of its top customers and maintains an allowance for potential credit losses.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which includes the ex-factory cost of goods, capitalized warehouse costs, and in-bound freight and duty, is valued at the lower of cost or net realizable value, net of inventory obsolescence reserve, and consists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258" w:type="dxa"/>
        <w:jc w:val="left"/>
        <w:tblInd w:w="0" w:type="dxa"/>
        <w:tblLayout w:type="fixed"/>
        <w:tblCellMar>
          <w:top w:w="0" w:type="dxa"/>
          <w:left w:w="0" w:type="dxa"/>
          <w:bottom w:w="0" w:type="dxa"/>
          <w:right w:w="0" w:type="dxa"/>
        </w:tblCellMar>
      </w:tblPr>
      <w:tblGrid>
        <w:gridCol w:w="1505"/>
        <w:gridCol w:w="90"/>
        <w:gridCol w:w="174"/>
        <w:gridCol w:w="730"/>
        <w:gridCol w:w="90"/>
        <w:gridCol w:w="90"/>
        <w:gridCol w:w="278"/>
        <w:gridCol w:w="1166"/>
        <w:gridCol w:w="135"/>
      </w:tblGrid>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Finished goods</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double" w:sz="6" w:space="0" w:color="000000"/>
            </w:tcBorders>
            <w:shd w:fill="CCEEFF" w:val="clear"/>
            <w:tcMar>
              <w:bottom w:w="28" w:type="dxa"/>
            </w:tcMar>
            <w:vAlign w:val="center"/>
          </w:tcPr>
          <w:p>
            <w:pPr>
              <w:pStyle w:val="TableContents"/>
              <w:bidi w:val="0"/>
              <w:spacing w:before="0" w:after="283"/>
              <w:jc w:val="right"/>
              <w:rPr/>
            </w:pPr>
            <w:r>
              <w:rPr/>
              <w:t>58,272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59,805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inventory obsolescence reserve was $1.8 million and $2.4 million as of June 30, 2026 and December 31, 2025,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Revenue Recognition and Reserve for Sales Returns and Allowances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only include one performance obligation (i.e., sale of the Company’s products). Revenue is recognized in the gross amount at a point in time when delivery is completed and control of the promised goods is transferred to the customers. Revenue is measured as the amount of consideration the Company expects to be entitled to in exchange for those goods. The Company’s contracts do not involve financing elements as payment terms with customers are less than one year. Further, because revenue is recognized at the point in time goods are sold to customers, there are no contract assets or contract liability balances.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its revenues from contracts with customers by reporting segment: Toys/Consumer Products and Costumes. The Company further disaggregates revenues by major geographic regions (See Note 2 - Business Segments, Geographic Data and Sales by Major Customers, for further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various discounts, pricing concessions, and other allowances to customers, all of which are considered in determining the transaction price. Certain discounts and allowances are fixed and determinable at the time of sale and are recorded at the time of sale as a reduction to revenue. Other discounts and allowances can vary and are determined at management’s discretion (variable consideration). Specifically, the Company occasionally grants discretionary credits to facilitate markdowns and sales of slow-moving merchandise, and consequently accrues an allowance based on historic credits and management estimates. The Company also participates in cooperative advertising arrangements with some customers, whereby it allows a discount from invoiced product amounts in exchange for customer-purchased advertising that features the Company’s products. Generally, these allowances range from 1% to 30% of gross sales and are generally based upon product purchases or specific advertising campaigns. Such allowances are accrued when the related revenue is recognized. To the extent these cooperative advertising arrangements provide a distinct benefit at fair value, they are accounted for as direct selling expenses, otherwise they are recorded as a reduction to revenue. Further, while the Company generally does not allow product returns, the Company does make occasional exceptions to this policy and consequently records a sales return allowance based upon historic return amounts and management estimates. These allowances (variable consideration) are estimated using the expected value method and are recorded at the time of sale as a reduction to revenue. The Company adjusts its estimate of variable consideration at least quarterly or when facts and circumstances used in the estimation process may change. The variable consideration is not constrained as the Company has sufficient history on the related estimates and does not believe there is a risk of significant revenue reversal.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are expensed when incurred as the related revenue is recognized at a point in time and therefore the amortization period is less than one year. As a result, these costs are recorded as direct selling expenses, as incurred. For the three and six months ended June 30, 2026 sales commissions were $0.5 million and $1.0 million, respectively. For the three and six months ended June 30, 2025 sales commissions were $0.5 million and $0.9 million,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activities are considered part of the Company’s obligation to transfer the products and therefore are recorded as direct selling expenses, as incurred. For the three and six months ended June 30, 2026, shipping and handling costs were $1.6 million and $3.4 million, respectively. For the three and six months ended June 30, 2025, shipping and handling costs were $1.7 million and $3.9 million, respectively.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5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JPMorgan Chase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2021, the Company and certain of its subsidiaries, as borrowers, entered into a Credit Agreement (the “JPMorgan ABL Credit Agreement”) with JPMorgan Chase Bank, N.A., as agent and lender, providing a $67.5 million senior secured revolving credit facility (the “JPMorgan ABL Facility”) maturing in June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2025, in connection with the execution of a new credit facility with BMO Bank N.A., the Company voluntarily terminated the JPMorgan ABL Facility. At the time of termination, there were no borrowings outstanding under the JPMorgan ABL Facility. The termination of the JPMorgan ABL Facility did not result in any prepayment penalties or early termination fees. Unamortized debt issuance costs associated with the JPMorgan ABL Facility were written off and recorded as a loss on extinguishment of debt in the amount of $0.4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JPMorgan ABL Facility was replaced with a new senior secured revolving credit facility with BMO Bank N.A., as described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BMO Bank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2025, the Company and certain of its subsidiaries entered into a new Credit Agreement (the “BMO Credit Agreement”) with BMO Bank N.A., as administrative agent, and a syndicate of lenders. The BMO Credit Agreement provides for a senior secured revolving credit facility (the “Revolving Facility”) with aggregate commitments of up to $70.0 million, including a $10.0 million sublimit for swingline loans and a $25.0 million sublimit for letters of credit. The Revolving Facility matures on June 24, 2030, unless extended pursuant to its terms. Capitalized terms used below have the meanings assigned to them in the BMO Credit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Revolving Facility bear interest, at the Company’s election, at either (i) the Adjusted Term Secured Overnight Financing Rate (“SOFR”) plus an applicable margin or (ii) the Base Rate plus an applicable margin. The applicable margin varies based on the Company’s Total Net Leverage Ratio and ranges from 1.50% to 2.00% for SOFR loans and from 0.50% to 1.00% for Base Rate loans. The Company is also subject to a commitment fee on the unused portion of the Revolving Facility ranging from 0.20% to 0.30%, and a fee on outstanding letters of credit ranging from 1.50% to 2.00%.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BMO Credit Agreement contains customary affirmative and negative covenants, including limitations on indebtedness, liens, investments, asset sales, and dividends. Financial covenants include a minimum Consolidated Interest Coverage Ratio of 3.00 to 1.00, and maximum Total Net Leverage Ratio of 2.00 to 1.00, tested quarterly.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under the BMO Credit Agreement are guaranteed by certain of the Company’s U.S., Canadian and Hong Kong subsidiaries and are secured by substantially all of the assets of the Company and certain of its subsidiaries, including equity interests in certain subsidiaries, subject to certain customary exclusions.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amount of outstanding borrowings was nil and the total excess borrowing availability was $68.7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off-balance sheet arrangements include letters of credit issued by BMO of $1.3 million and JPMorgan of $0.9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was in compliance with the financial covenants under the BMO Credit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6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tax expense of $1.7 million for the three months ended June 30, 2026, reflects an effective tax rate of 22.5%. The Company’s income tax benefit of $0.6 million for the three months ended June 30, 2025, reflects an effective tax rate of 20.7%. The increase in tax expense for the quarter ended June 30, 2026 compared to the corresponding period in 2025 was primarily attributable to higher pretax earnings and an increase in tax expense from discrete items recognized during the current-year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tax expense of $0.9 million for the six months ended June 30, 2026 reflects an effective tax rate of 35.1%. The Company’s income tax benefit of $1.8 million for the six months ended June 30, 2025 reflects an effective tax rate of 27.3%. The increase in tax expense during the six months ended June 30, 2026 compared to the corresponding period in 2025 was primarily attributable to higher pretax earnings and an increase in tax expense from discrete items recognized during the current-year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the normal course of business, the Company may be audited by federal, state and foreign tax authorities. At this time, the Company has at least one audit underway. The Company currently cannot assess the impact of the outcome on its condensed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Earnings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a reconciliation of the weighted average shares used in the computation of earnings (loss) per share for the periods presented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9951" w:type="dxa"/>
        <w:jc w:val="left"/>
        <w:tblInd w:w="0" w:type="dxa"/>
        <w:tblLayout w:type="fixed"/>
        <w:tblCellMar>
          <w:top w:w="0" w:type="dxa"/>
          <w:left w:w="0" w:type="dxa"/>
          <w:bottom w:w="0" w:type="dxa"/>
          <w:right w:w="0" w:type="dxa"/>
        </w:tblCellMar>
      </w:tblPr>
      <w:tblGrid>
        <w:gridCol w:w="5300"/>
        <w:gridCol w:w="90"/>
        <w:gridCol w:w="196"/>
        <w:gridCol w:w="819"/>
        <w:gridCol w:w="103"/>
        <w:gridCol w:w="103"/>
        <w:gridCol w:w="196"/>
        <w:gridCol w:w="819"/>
        <w:gridCol w:w="125"/>
        <w:gridCol w:w="90"/>
        <w:gridCol w:w="170"/>
        <w:gridCol w:w="710"/>
        <w:gridCol w:w="90"/>
        <w:gridCol w:w="90"/>
        <w:gridCol w:w="170"/>
        <w:gridCol w:w="710"/>
        <w:gridCol w:w="170"/>
      </w:tblGrid>
      <w:tr>
        <w:trPr/>
        <w:tc>
          <w:tcPr>
            <w:tcW w:w="5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b/>
                <w:u w:val="single"/>
              </w:rPr>
            </w:pPr>
            <w:r>
              <w:rPr>
                <w:b/>
                <w:u w:val="single"/>
              </w:rPr>
              <w:t>Earnings (loss) per share - basic and diluted</w:t>
            </w:r>
          </w:p>
        </w:tc>
        <w:tc>
          <w:tcPr>
            <w:tcW w:w="9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819" w:type="dxa"/>
            <w:tcBorders/>
            <w:shd w:fill="CCEEFF" w:val="clear"/>
            <w:vAlign w:val="center"/>
          </w:tcPr>
          <w:p>
            <w:pPr>
              <w:pStyle w:val="TableContents"/>
              <w:bidi w:val="0"/>
              <w:spacing w:before="0" w:after="283"/>
              <w:jc w:val="right"/>
              <w:rPr/>
            </w:pPr>
            <w:r>
              <w:rPr/>
              <w:t>5,863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819" w:type="dxa"/>
            <w:tcBorders/>
            <w:shd w:fill="CCEEFF" w:val="clear"/>
            <w:vAlign w:val="center"/>
          </w:tcPr>
          <w:p>
            <w:pPr>
              <w:pStyle w:val="TableContents"/>
              <w:bidi w:val="0"/>
              <w:spacing w:before="0" w:after="283"/>
              <w:jc w:val="right"/>
              <w:rPr/>
            </w:pPr>
            <w:r>
              <w:rPr/>
              <w:t>(2,319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1,583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(4,701</w:t>
            </w:r>
          </w:p>
        </w:tc>
        <w:tc>
          <w:tcPr>
            <w:tcW w:w="170" w:type="dxa"/>
            <w:tcBorders/>
            <w:shd w:fill="CCEEFF" w:val="clear"/>
            <w:vAlign w:val="center"/>
          </w:tcPr>
          <w:p>
            <w:pPr>
              <w:pStyle w:val="TableContents"/>
              <w:bidi w:val="0"/>
              <w:spacing w:before="0" w:after="283"/>
              <w:jc w:val="left"/>
              <w:rPr/>
            </w:pPr>
            <w:r>
              <w:rPr/>
              <w:t>)</w:t>
            </w:r>
          </w:p>
        </w:tc>
      </w:tr>
      <w:tr>
        <w:trPr/>
        <w:tc>
          <w:tcPr>
            <w:tcW w:w="5300" w:type="dxa"/>
            <w:tcBorders/>
            <w:vAlign w:val="center"/>
          </w:tcPr>
          <w:p>
            <w:pPr>
              <w:pStyle w:val="TableContents"/>
              <w:bidi w:val="0"/>
              <w:spacing w:before="0" w:after="283"/>
              <w:jc w:val="left"/>
              <w:rPr/>
            </w:pPr>
            <w:r>
              <w:rPr/>
              <w:t>Weighted average common shares outstanding - basic</w:t>
            </w:r>
          </w:p>
        </w:tc>
        <w:tc>
          <w:tcPr>
            <w:tcW w:w="90" w:type="dxa"/>
            <w:tcBorders/>
            <w:vAlign w:val="center"/>
          </w:tcPr>
          <w:p>
            <w:pPr>
              <w:pStyle w:val="TableContents"/>
              <w:bidi w:val="0"/>
              <w:spacing w:before="0" w:after="283"/>
              <w:jc w:val="left"/>
              <w:rPr/>
            </w:pPr>
            <w:r>
              <w:rPr/>
              <w:t> </w:t>
            </w:r>
          </w:p>
        </w:tc>
        <w:tc>
          <w:tcPr>
            <w:tcW w:w="196" w:type="dxa"/>
            <w:tcBorders>
              <w:bottom w:val="double" w:sz="6" w:space="0" w:color="000000"/>
            </w:tcBorders>
            <w:tcMar>
              <w:bottom w:w="28" w:type="dxa"/>
            </w:tcMar>
            <w:vAlign w:val="center"/>
          </w:tcPr>
          <w:p>
            <w:pPr>
              <w:pStyle w:val="TableContents"/>
              <w:bidi w:val="0"/>
              <w:spacing w:before="0" w:after="283"/>
              <w:jc w:val="left"/>
              <w:rPr/>
            </w:pPr>
            <w:r>
              <w:rPr/>
              <w:t> </w:t>
            </w:r>
          </w:p>
        </w:tc>
        <w:tc>
          <w:tcPr>
            <w:tcW w:w="819" w:type="dxa"/>
            <w:tcBorders>
              <w:bottom w:val="double" w:sz="6" w:space="0" w:color="000000"/>
            </w:tcBorders>
            <w:tcMar>
              <w:bottom w:w="28" w:type="dxa"/>
            </w:tcMar>
            <w:vAlign w:val="center"/>
          </w:tcPr>
          <w:p>
            <w:pPr>
              <w:pStyle w:val="TableContents"/>
              <w:bidi w:val="0"/>
              <w:spacing w:before="0" w:after="283"/>
              <w:jc w:val="right"/>
              <w:rPr/>
            </w:pPr>
            <w:r>
              <w:rPr/>
              <w:t>11,445</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6" w:type="dxa"/>
            <w:tcBorders>
              <w:bottom w:val="double" w:sz="6" w:space="0" w:color="000000"/>
            </w:tcBorders>
            <w:tcMar>
              <w:bottom w:w="28" w:type="dxa"/>
            </w:tcMar>
            <w:vAlign w:val="center"/>
          </w:tcPr>
          <w:p>
            <w:pPr>
              <w:pStyle w:val="TableContents"/>
              <w:bidi w:val="0"/>
              <w:spacing w:before="0" w:after="283"/>
              <w:jc w:val="left"/>
              <w:rPr/>
            </w:pPr>
            <w:r>
              <w:rPr/>
              <w:t> </w:t>
            </w:r>
          </w:p>
        </w:tc>
        <w:tc>
          <w:tcPr>
            <w:tcW w:w="819" w:type="dxa"/>
            <w:tcBorders>
              <w:bottom w:val="double" w:sz="6" w:space="0" w:color="000000"/>
            </w:tcBorders>
            <w:tcMar>
              <w:bottom w:w="28" w:type="dxa"/>
            </w:tcMar>
            <w:vAlign w:val="center"/>
          </w:tcPr>
          <w:p>
            <w:pPr>
              <w:pStyle w:val="TableContents"/>
              <w:bidi w:val="0"/>
              <w:spacing w:before="0" w:after="283"/>
              <w:jc w:val="right"/>
              <w:rPr/>
            </w:pPr>
            <w:r>
              <w:rPr/>
              <w:t>11,146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tcMar>
              <w:bottom w:w="28" w:type="dxa"/>
            </w:tcMar>
            <w:vAlign w:val="center"/>
          </w:tcPr>
          <w:p>
            <w:pPr>
              <w:pStyle w:val="TableContents"/>
              <w:bidi w:val="0"/>
              <w:spacing w:before="0" w:after="283"/>
              <w:jc w:val="right"/>
              <w:rPr/>
            </w:pPr>
            <w:r>
              <w:rPr/>
              <w:t>11,444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tcMar>
              <w:bottom w:w="28" w:type="dxa"/>
            </w:tcMar>
            <w:vAlign w:val="center"/>
          </w:tcPr>
          <w:p>
            <w:pPr>
              <w:pStyle w:val="TableContents"/>
              <w:bidi w:val="0"/>
              <w:spacing w:before="0" w:after="283"/>
              <w:jc w:val="right"/>
              <w:rPr/>
            </w:pPr>
            <w:r>
              <w:rPr/>
              <w:t>11,146</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Earnings (loss) per share - basic</w:t>
            </w:r>
          </w:p>
        </w:tc>
        <w:tc>
          <w:tcPr>
            <w:tcW w:w="9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pPr>
            <w:r>
              <w:rPr/>
              <w:t>0.51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pPr>
            <w:r>
              <w:rPr/>
              <w:t>(0.21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0.14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(0.42</w:t>
            </w:r>
          </w:p>
        </w:tc>
        <w:tc>
          <w:tcPr>
            <w:tcW w:w="170" w:type="dxa"/>
            <w:tcBorders/>
            <w:shd w:fill="CCEEFF" w:val="clear"/>
            <w:vAlign w:val="center"/>
          </w:tcPr>
          <w:p>
            <w:pPr>
              <w:pStyle w:val="TableContents"/>
              <w:bidi w:val="0"/>
              <w:spacing w:before="0" w:after="283"/>
              <w:jc w:val="left"/>
              <w:rPr/>
            </w:pPr>
            <w:r>
              <w:rPr/>
              <w:t>)</w:t>
            </w:r>
          </w:p>
        </w:tc>
      </w:tr>
      <w:tr>
        <w:trPr/>
        <w:tc>
          <w:tcPr>
            <w:tcW w:w="5300" w:type="dxa"/>
            <w:tcBorders/>
            <w:vAlign w:val="center"/>
          </w:tcPr>
          <w:p>
            <w:pPr>
              <w:pStyle w:val="TableContents"/>
              <w:bidi w:val="0"/>
              <w:spacing w:before="0" w:after="283"/>
              <w:jc w:val="left"/>
              <w:rPr/>
            </w:pPr>
            <w:r>
              <w:rPr/>
              <w:t>Weighted average common shares outstanding - diluted</w:t>
            </w:r>
          </w:p>
        </w:tc>
        <w:tc>
          <w:tcPr>
            <w:tcW w:w="90" w:type="dxa"/>
            <w:tcBorders/>
            <w:vAlign w:val="center"/>
          </w:tcPr>
          <w:p>
            <w:pPr>
              <w:pStyle w:val="TableContents"/>
              <w:bidi w:val="0"/>
              <w:spacing w:before="0" w:after="283"/>
              <w:jc w:val="left"/>
              <w:rPr/>
            </w:pPr>
            <w:r>
              <w:rPr/>
              <w:t> </w:t>
            </w:r>
          </w:p>
        </w:tc>
        <w:tc>
          <w:tcPr>
            <w:tcW w:w="196" w:type="dxa"/>
            <w:tcBorders>
              <w:bottom w:val="double" w:sz="6" w:space="0" w:color="000000"/>
            </w:tcBorders>
            <w:tcMar>
              <w:bottom w:w="28" w:type="dxa"/>
            </w:tcMar>
            <w:vAlign w:val="center"/>
          </w:tcPr>
          <w:p>
            <w:pPr>
              <w:pStyle w:val="TableContents"/>
              <w:bidi w:val="0"/>
              <w:spacing w:before="0" w:after="283"/>
              <w:jc w:val="left"/>
              <w:rPr/>
            </w:pPr>
            <w:r>
              <w:rPr/>
              <w:t> </w:t>
            </w:r>
          </w:p>
        </w:tc>
        <w:tc>
          <w:tcPr>
            <w:tcW w:w="819" w:type="dxa"/>
            <w:tcBorders>
              <w:bottom w:val="double" w:sz="6" w:space="0" w:color="000000"/>
            </w:tcBorders>
            <w:tcMar>
              <w:bottom w:w="28" w:type="dxa"/>
            </w:tcMar>
            <w:vAlign w:val="center"/>
          </w:tcPr>
          <w:p>
            <w:pPr>
              <w:pStyle w:val="TableContents"/>
              <w:bidi w:val="0"/>
              <w:spacing w:before="0" w:after="283"/>
              <w:jc w:val="right"/>
              <w:rPr/>
            </w:pPr>
            <w:r>
              <w:rPr/>
              <w:t>11,872</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6" w:type="dxa"/>
            <w:tcBorders>
              <w:bottom w:val="double" w:sz="6" w:space="0" w:color="000000"/>
            </w:tcBorders>
            <w:tcMar>
              <w:bottom w:w="28" w:type="dxa"/>
            </w:tcMar>
            <w:vAlign w:val="center"/>
          </w:tcPr>
          <w:p>
            <w:pPr>
              <w:pStyle w:val="TableContents"/>
              <w:bidi w:val="0"/>
              <w:spacing w:before="0" w:after="283"/>
              <w:jc w:val="left"/>
              <w:rPr/>
            </w:pPr>
            <w:r>
              <w:rPr/>
              <w:t> </w:t>
            </w:r>
          </w:p>
        </w:tc>
        <w:tc>
          <w:tcPr>
            <w:tcW w:w="819" w:type="dxa"/>
            <w:tcBorders>
              <w:bottom w:val="double" w:sz="6" w:space="0" w:color="000000"/>
            </w:tcBorders>
            <w:tcMar>
              <w:bottom w:w="28" w:type="dxa"/>
            </w:tcMar>
            <w:vAlign w:val="center"/>
          </w:tcPr>
          <w:p>
            <w:pPr>
              <w:pStyle w:val="TableContents"/>
              <w:bidi w:val="0"/>
              <w:spacing w:before="0" w:after="283"/>
              <w:jc w:val="right"/>
              <w:rPr/>
            </w:pPr>
            <w:r>
              <w:rPr/>
              <w:t>11,146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tcMar>
              <w:bottom w:w="28" w:type="dxa"/>
            </w:tcMar>
            <w:vAlign w:val="center"/>
          </w:tcPr>
          <w:p>
            <w:pPr>
              <w:pStyle w:val="TableContents"/>
              <w:bidi w:val="0"/>
              <w:spacing w:before="0" w:after="283"/>
              <w:jc w:val="right"/>
              <w:rPr/>
            </w:pPr>
            <w:r>
              <w:rPr/>
              <w:t>11,803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tcMar>
              <w:bottom w:w="28" w:type="dxa"/>
            </w:tcMar>
            <w:vAlign w:val="center"/>
          </w:tcPr>
          <w:p>
            <w:pPr>
              <w:pStyle w:val="TableContents"/>
              <w:bidi w:val="0"/>
              <w:spacing w:before="0" w:after="283"/>
              <w:jc w:val="right"/>
              <w:rPr/>
            </w:pPr>
            <w:r>
              <w:rPr/>
              <w:t>11,146</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Earnings (loss) per share - diluted</w:t>
            </w:r>
          </w:p>
        </w:tc>
        <w:tc>
          <w:tcPr>
            <w:tcW w:w="9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pPr>
            <w:r>
              <w:rPr/>
              <w:t>0.49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pPr>
            <w:r>
              <w:rPr/>
              <w:t>(0.21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0.13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(0.42</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calculated using the weighted average number of common shares outstanding during the period. Diluted earnings (loss) per share is calculated using the weighted average number of common shares and common share equivalents outstanding during the period (which consist of restricted stock units to the extent they are dilutive). Potentially dilutive restricted stock units of 6,117 and 49,837 for the three and six months ended June 30, 2026, respectively, were excluded from the computation of diluted loss per share since they would have been anti-dilutive.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dilutive restricted stock units of 250,349 and 340,270 for the three and six months ended June 30, 2025, respectively, were excluded from the computation of diluted loss per share since they would have been anti-dilutive.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issuances of common stock, including those issued pursuant to restricted stock or unit grants, are issued from the Company’s authorized but not issued and outstanding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certain employees, including one executive officer, surrendered an aggregate of 75,051 shares of restricted stock units for $1.3 million to cover income taxes due for the vesting of restricted shares. Additionally, an aggregate of 30,511 shares of restricted stock granted in 2023, 2024 and 2025 with a value of approximately $0.6 million was forfeited during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certain employees, including two executive officers, surrendered an aggregate of 136,071 shares of restricted stock units for $3.8 million to cover income taxes due for the vesting of restricted shares. Additionally, an aggregate of 3,549 shares of restricted stock granted in 2022, 2023 and 2024 with a value of approximately $0.1 million was forfeited during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quarterly dividend of $0.25 per share for owners of record as of May 29, 2026 was declared on April 29, 2026 and paid on June 29,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 the Market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2022, the Company entered into an At the Market Issuance Sales Agreement (“ATM Agreement”) with B. Riley, as agent pursuant to which the Company may, from time to time, sell shares of its common stock, up to $75 million of common stock, in one or more offerings in amounts, prices and at terms that the Company will determine at the time of the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did not sell any shares of common stock under the ATM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Company filed with the SEC a shelf registration statement pursuant to which it may issue, from time to time, up to $150.0 million of securities (which will be reduced by any amount of securities sold pursuant to the ATM Agreement) consisting of, or any combination of, common stock, preferred stock, debt securities, warrants, rights and/or units, in one or more offerings in amounts, prices and at terms that the Company will determine at the time of the offering. This registration statement replaced an essentially similar one filed in October 2022, which expired by law on its three-year anniversary. No shares were sold under such prior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has not sold any securities pursuant to its shelf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 fair value-based impairment test to the carrying value of goodwill and indefinite-lived intangible assets on an annual basis and on an interim basis, if certain events or circumstances indicate that an impairment loss may have been incurred. Goodwill impairment exists when the estimated fair value of goodwill is less than its carrying value. For the three months ended June 30, 2026, there were no events or circumstances that indicated that an impairment loss may have been incurred.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April 1 annual assessment, it determined that the fair value of the reporting unit containing goodwill exceeded its carrying amount.</w:t>
      </w:r>
    </w:p>
    <w:p>
      <w:pPr>
        <w:pStyle w:val="TextBody"/>
        <w:bidi w:val="0"/>
        <w:spacing w:before="0" w:after="0"/>
        <w:ind w:left="0" w:right="0" w:firstLine="8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goodwill impairment was determined to have occurred for the six months ended June 30, 2026 and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10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components of the Company’s comprehensive income (loss) for the 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8448" w:type="dxa"/>
        <w:jc w:val="left"/>
        <w:tblInd w:w="0" w:type="dxa"/>
        <w:tblLayout w:type="fixed"/>
        <w:tblCellMar>
          <w:top w:w="0" w:type="dxa"/>
          <w:left w:w="0" w:type="dxa"/>
          <w:bottom w:w="0" w:type="dxa"/>
          <w:right w:w="0" w:type="dxa"/>
        </w:tblCellMar>
      </w:tblPr>
      <w:tblGrid>
        <w:gridCol w:w="3800"/>
        <w:gridCol w:w="90"/>
        <w:gridCol w:w="210"/>
        <w:gridCol w:w="730"/>
        <w:gridCol w:w="154"/>
        <w:gridCol w:w="111"/>
        <w:gridCol w:w="210"/>
        <w:gridCol w:w="822"/>
        <w:gridCol w:w="125"/>
        <w:gridCol w:w="90"/>
        <w:gridCol w:w="174"/>
        <w:gridCol w:w="684"/>
        <w:gridCol w:w="128"/>
        <w:gridCol w:w="92"/>
        <w:gridCol w:w="174"/>
        <w:gridCol w:w="684"/>
        <w:gridCol w:w="170"/>
      </w:tblGrid>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7" w:type="dxa"/>
            <w:gridSpan w:val="6"/>
            <w:tcBorders/>
            <w:vAlign w:val="center"/>
          </w:tcPr>
          <w:p>
            <w:pPr>
              <w:pStyle w:val="TableContents"/>
              <w:bidi w:val="0"/>
              <w:spacing w:before="0" w:after="283"/>
              <w:jc w:val="center"/>
              <w:rPr>
                <w:b/>
              </w:rPr>
            </w:pPr>
            <w:r>
              <w:rPr>
                <w:b/>
              </w:rPr>
              <w:t>Three Months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6" w:type="dxa"/>
            <w:gridSpan w:val="6"/>
            <w:tcBorders/>
            <w:vAlign w:val="center"/>
          </w:tcPr>
          <w:p>
            <w:pPr>
              <w:pStyle w:val="TableContents"/>
              <w:bidi w:val="0"/>
              <w:spacing w:before="0" w:after="283"/>
              <w:jc w:val="center"/>
              <w:rPr>
                <w:b/>
              </w:rPr>
            </w:pPr>
            <w:r>
              <w:rPr>
                <w:b/>
              </w:rPr>
              <w:t>Six Months Ended</w:t>
            </w:r>
          </w:p>
        </w:tc>
        <w:tc>
          <w:tcPr>
            <w:tcW w:w="17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7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b/>
              </w:rPr>
            </w:pPr>
            <w:r>
              <w:rPr>
                <w:b/>
              </w:rPr>
              <w:t>Net income (loss)</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5,863</w:t>
            </w:r>
          </w:p>
        </w:tc>
        <w:tc>
          <w:tcPr>
            <w:tcW w:w="154"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822" w:type="dxa"/>
            <w:tcBorders/>
            <w:shd w:fill="CCEEFF" w:val="clear"/>
            <w:vAlign w:val="center"/>
          </w:tcPr>
          <w:p>
            <w:pPr>
              <w:pStyle w:val="TableContents"/>
              <w:bidi w:val="0"/>
              <w:spacing w:before="0" w:after="283"/>
              <w:jc w:val="right"/>
              <w:rPr/>
            </w:pPr>
            <w:r>
              <w:rPr/>
              <w:t>(2,319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684" w:type="dxa"/>
            <w:tcBorders/>
            <w:shd w:fill="CCEEFF" w:val="clear"/>
            <w:vAlign w:val="center"/>
          </w:tcPr>
          <w:p>
            <w:pPr>
              <w:pStyle w:val="TableContents"/>
              <w:bidi w:val="0"/>
              <w:spacing w:before="0" w:after="283"/>
              <w:jc w:val="right"/>
              <w:rPr/>
            </w:pPr>
            <w:r>
              <w:rPr/>
              <w:t>1,583</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684" w:type="dxa"/>
            <w:tcBorders/>
            <w:shd w:fill="CCEEFF" w:val="clear"/>
            <w:vAlign w:val="center"/>
          </w:tcPr>
          <w:p>
            <w:pPr>
              <w:pStyle w:val="TableContents"/>
              <w:bidi w:val="0"/>
              <w:spacing w:before="0" w:after="283"/>
              <w:jc w:val="right"/>
              <w:rPr/>
            </w:pPr>
            <w:r>
              <w:rPr/>
              <w:t>(4,701</w:t>
            </w:r>
          </w:p>
        </w:tc>
        <w:tc>
          <w:tcPr>
            <w:tcW w:w="170" w:type="dxa"/>
            <w:tcBorders/>
            <w:shd w:fill="CCEEFF" w:val="clear"/>
            <w:vAlign w:val="center"/>
          </w:tcPr>
          <w:p>
            <w:pPr>
              <w:pStyle w:val="TableContents"/>
              <w:bidi w:val="0"/>
              <w:spacing w:before="0" w:after="283"/>
              <w:jc w:val="left"/>
              <w:rPr/>
            </w:pPr>
            <w:r>
              <w:rPr/>
              <w:t>)</w:t>
            </w:r>
          </w:p>
        </w:tc>
      </w:tr>
      <w:tr>
        <w:trPr/>
        <w:tc>
          <w:tcPr>
            <w:tcW w:w="3800" w:type="dxa"/>
            <w:tcBorders/>
            <w:vAlign w:val="center"/>
          </w:tcPr>
          <w:p>
            <w:pPr>
              <w:pStyle w:val="TableContents"/>
              <w:bidi w:val="0"/>
              <w:spacing w:before="0" w:after="283"/>
              <w:jc w:val="left"/>
              <w:rPr/>
            </w:pPr>
            <w:r>
              <w:rPr/>
              <w:t>Other comprehensive income (loss):</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54"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pPr>
            <w:r>
              <w:rPr/>
              <w:t>3,637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8" w:space="0" w:color="000000"/>
            </w:tcBorders>
            <w:shd w:fill="CCEEFF" w:val="clear"/>
            <w:tcMar>
              <w:bottom w:w="28" w:type="dxa"/>
            </w:tcMar>
            <w:vAlign w:val="center"/>
          </w:tcPr>
          <w:p>
            <w:pPr>
              <w:pStyle w:val="TableContents"/>
              <w:bidi w:val="0"/>
              <w:spacing w:before="0" w:after="283"/>
              <w:jc w:val="right"/>
              <w:rPr/>
            </w:pPr>
            <w:r>
              <w:rPr/>
              <w:t>(1,901</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8" w:space="0" w:color="000000"/>
            </w:tcBorders>
            <w:shd w:fill="CCEEFF" w:val="clear"/>
            <w:tcMar>
              <w:bottom w:w="28" w:type="dxa"/>
            </w:tcMar>
            <w:vAlign w:val="center"/>
          </w:tcPr>
          <w:p>
            <w:pPr>
              <w:pStyle w:val="TableContents"/>
              <w:bidi w:val="0"/>
              <w:spacing w:before="0" w:after="283"/>
              <w:jc w:val="right"/>
              <w:rPr/>
            </w:pPr>
            <w:r>
              <w:rPr/>
              <w:t>4,265</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Comprehensive income (loss)</w:t>
            </w:r>
          </w:p>
        </w:tc>
        <w:tc>
          <w:tcPr>
            <w:tcW w:w="90" w:type="dxa"/>
            <w:tcBorders/>
            <w:vAlign w:val="center"/>
          </w:tcPr>
          <w:p>
            <w:pPr>
              <w:pStyle w:val="TableContents"/>
              <w:bidi w:val="0"/>
              <w:spacing w:before="0" w:after="283"/>
              <w:jc w:val="left"/>
              <w:rPr/>
            </w:pPr>
            <w:r>
              <w:rPr/>
              <w:t> </w:t>
            </w:r>
          </w:p>
        </w:tc>
        <w:tc>
          <w:tcPr>
            <w:tcW w:w="210" w:type="dxa"/>
            <w:tcBorders>
              <w:bottom w:val="double" w:sz="6" w:space="0" w:color="000000"/>
            </w:tcBorders>
            <w:tcMar>
              <w:bottom w:w="28" w:type="dxa"/>
            </w:tcMar>
            <w:vAlign w:val="center"/>
          </w:tcPr>
          <w:p>
            <w:pPr>
              <w:pStyle w:val="TableContents"/>
              <w:bidi w:val="0"/>
              <w:spacing w:before="0" w:after="283"/>
              <w:jc w:val="left"/>
              <w:rPr/>
            </w:pPr>
            <w:r>
              <w:rPr/>
              <w:t>$</w:t>
            </w:r>
          </w:p>
        </w:tc>
        <w:tc>
          <w:tcPr>
            <w:tcW w:w="730" w:type="dxa"/>
            <w:tcBorders>
              <w:bottom w:val="double" w:sz="6" w:space="0" w:color="000000"/>
            </w:tcBorders>
            <w:tcMar>
              <w:bottom w:w="28" w:type="dxa"/>
            </w:tcMar>
            <w:vAlign w:val="center"/>
          </w:tcPr>
          <w:p>
            <w:pPr>
              <w:pStyle w:val="TableContents"/>
              <w:bidi w:val="0"/>
              <w:spacing w:before="0" w:after="283"/>
              <w:jc w:val="right"/>
              <w:rPr/>
            </w:pPr>
            <w:r>
              <w:rPr/>
              <w:t>5,763</w:t>
            </w:r>
          </w:p>
        </w:tc>
        <w:tc>
          <w:tcPr>
            <w:tcW w:w="15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0" w:type="dxa"/>
            <w:tcBorders>
              <w:bottom w:val="double" w:sz="6" w:space="0" w:color="000000"/>
            </w:tcBorders>
            <w:tcMar>
              <w:bottom w:w="28" w:type="dxa"/>
            </w:tcMar>
            <w:vAlign w:val="center"/>
          </w:tcPr>
          <w:p>
            <w:pPr>
              <w:pStyle w:val="TableContents"/>
              <w:bidi w:val="0"/>
              <w:spacing w:before="0" w:after="283"/>
              <w:jc w:val="left"/>
              <w:rPr/>
            </w:pPr>
            <w:r>
              <w:rPr/>
              <w:t>$</w:t>
            </w:r>
          </w:p>
        </w:tc>
        <w:tc>
          <w:tcPr>
            <w:tcW w:w="822" w:type="dxa"/>
            <w:tcBorders>
              <w:bottom w:val="double" w:sz="6" w:space="0" w:color="000000"/>
            </w:tcBorders>
            <w:tcMar>
              <w:bottom w:w="28" w:type="dxa"/>
            </w:tcMar>
            <w:vAlign w:val="center"/>
          </w:tcPr>
          <w:p>
            <w:pPr>
              <w:pStyle w:val="TableContents"/>
              <w:bidi w:val="0"/>
              <w:spacing w:before="0" w:after="283"/>
              <w:jc w:val="right"/>
              <w:rPr/>
            </w:pPr>
            <w:r>
              <w:rPr/>
              <w:t>1,318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pPr>
            <w:r>
              <w:rPr/>
              <w:t>$</w:t>
            </w:r>
          </w:p>
        </w:tc>
        <w:tc>
          <w:tcPr>
            <w:tcW w:w="684" w:type="dxa"/>
            <w:tcBorders>
              <w:bottom w:val="double" w:sz="6" w:space="0" w:color="000000"/>
            </w:tcBorders>
            <w:tcMar>
              <w:bottom w:w="28" w:type="dxa"/>
            </w:tcMar>
            <w:vAlign w:val="center"/>
          </w:tcPr>
          <w:p>
            <w:pPr>
              <w:pStyle w:val="TableContents"/>
              <w:bidi w:val="0"/>
              <w:spacing w:before="0" w:after="283"/>
              <w:jc w:val="right"/>
              <w:rPr/>
            </w:pPr>
            <w:r>
              <w:rPr/>
              <w:t>(318</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pPr>
            <w:r>
              <w:rPr/>
              <w:t>$</w:t>
            </w:r>
          </w:p>
        </w:tc>
        <w:tc>
          <w:tcPr>
            <w:tcW w:w="684" w:type="dxa"/>
            <w:tcBorders>
              <w:bottom w:val="double" w:sz="6" w:space="0" w:color="000000"/>
            </w:tcBorders>
            <w:tcMar>
              <w:bottom w:w="28" w:type="dxa"/>
            </w:tcMar>
            <w:vAlign w:val="center"/>
          </w:tcPr>
          <w:p>
            <w:pPr>
              <w:pStyle w:val="TableContents"/>
              <w:bidi w:val="0"/>
              <w:spacing w:before="0" w:after="283"/>
              <w:jc w:val="right"/>
              <w:rPr/>
            </w:pPr>
            <w:r>
              <w:rPr/>
              <w:t>(436</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Litigation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and certain of its property is the subject of, various pending claims and legal proceedings that routinely arise in the ordinary course of its business. The Company accrues for losses when the loss is deemed probable and the liability can reasonably be estimated. Where a liability is probable and there is a range of estimated loss with no best estimate in the range, the Company records the minimum estimated liability related to the claim. As additional information becomes available, the Company assesses the potential liability related to its pending litigation and revises its estimates.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may provide certain indemnifications and/or other commitments of varying scope to a) its licensors, customers and certain other parties, including against third-party claims of intellectual property infringement, and b) its officers, directors and employees, including against third-party claims regarding the periods in which they serve in such capacities with the Company. The duration and amount of such obligations is, in certain cases, indefinite. The Company’s director’s and officer’s liability insurance policy may, however, enable it to recover a portion of any future payments related to its officer, director or employee indemnifications. For the past five years, costs related to director and officer indemnifications have not been significant. Other than certain liabilities recorded in the normal course of business related to royalty payments due to the Company’s licensors, no liabilities have been recorded for indemnifications and/or other commitments.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Share-Based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2002 Stock Award and Incentive Plan (the “Plan”), as amended, provides for the awarding of stock options, restricted stock and restricted stock units to certain key employees, executive officers and non-employee directors. Current awards under the Plan include grants to executive officers and certain key employees of restricted stock units, with vesting contingent upon the completion of specified service periods ranging from one to four years and/or (b) meeting certain financial performance and/or market-based metrics. Shares for the restricted stock units are not issued until they vest.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total share-based compensation expense recognized for the 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7991" w:type="dxa"/>
        <w:jc w:val="left"/>
        <w:tblInd w:w="0" w:type="dxa"/>
        <w:tblLayout w:type="fixed"/>
        <w:tblCellMar>
          <w:top w:w="0" w:type="dxa"/>
          <w:left w:w="0" w:type="dxa"/>
          <w:bottom w:w="0" w:type="dxa"/>
          <w:right w:w="0" w:type="dxa"/>
        </w:tblCellMar>
      </w:tblPr>
      <w:tblGrid>
        <w:gridCol w:w="3410"/>
        <w:gridCol w:w="90"/>
        <w:gridCol w:w="224"/>
        <w:gridCol w:w="777"/>
        <w:gridCol w:w="118"/>
        <w:gridCol w:w="118"/>
        <w:gridCol w:w="224"/>
        <w:gridCol w:w="777"/>
        <w:gridCol w:w="90"/>
        <w:gridCol w:w="90"/>
        <w:gridCol w:w="194"/>
        <w:gridCol w:w="673"/>
        <w:gridCol w:w="102"/>
        <w:gridCol w:w="102"/>
        <w:gridCol w:w="194"/>
        <w:gridCol w:w="673"/>
        <w:gridCol w:w="135"/>
      </w:tblGrid>
      <w:tr>
        <w:trPr/>
        <w:tc>
          <w:tcPr>
            <w:tcW w:w="3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8" w:type="dxa"/>
            <w:gridSpan w:val="6"/>
            <w:tcBorders/>
            <w:vAlign w:val="center"/>
          </w:tcPr>
          <w:p>
            <w:pPr>
              <w:pStyle w:val="TableContents"/>
              <w:bidi w:val="0"/>
              <w:spacing w:before="0" w:after="283"/>
              <w:jc w:val="center"/>
              <w:rPr>
                <w:b/>
              </w:rPr>
            </w:pPr>
            <w:r>
              <w:rPr>
                <w:b/>
              </w:rPr>
              <w:t>Six Months Ended</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Share-based compensation expense</w:t>
            </w:r>
          </w:p>
        </w:tc>
        <w:tc>
          <w:tcPr>
            <w:tcW w:w="9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pPr>
            <w:r>
              <w:rPr/>
              <w:t>2,998</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pPr>
            <w:r>
              <w:rPr/>
              <w:t>3,188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jc w:val="right"/>
              <w:rPr/>
            </w:pPr>
            <w:r>
              <w:rPr/>
              <w:t>6,079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jc w:val="right"/>
              <w:rPr/>
            </w:pPr>
            <w:r>
              <w:rPr/>
              <w:t>5,740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RSU award activity for awards with service conditions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215"/>
        <w:gridCol w:w="90"/>
        <w:gridCol w:w="99"/>
        <w:gridCol w:w="1120"/>
        <w:gridCol w:w="125"/>
        <w:gridCol w:w="90"/>
        <w:gridCol w:w="282"/>
        <w:gridCol w:w="982"/>
        <w:gridCol w:w="135"/>
      </w:tblGrid>
      <w:tr>
        <w:trPr/>
        <w:tc>
          <w:tcPr>
            <w:tcW w:w="3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Weighted </w:t>
              <w:br/>
              <w:t>Average</w:t>
              <w:br/>
              <w:t xml:space="preserve">Grant Date </w:t>
              <w:br/>
              <w:t xml:space="preserve">Fair </w:t>
              <w:br/>
              <w:t>Value</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December 31, 2025</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1,117,068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21.03</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pPr>
            <w:r>
              <w:rPr/>
              <w:t>263,556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16.88</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(177,082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24.83</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tcMar>
              <w:bottom w:w="28" w:type="dxa"/>
            </w:tcMar>
            <w:vAlign w:val="center"/>
          </w:tcPr>
          <w:p>
            <w:pPr>
              <w:pStyle w:val="TableContents"/>
              <w:bidi w:val="0"/>
              <w:spacing w:before="0" w:after="283"/>
              <w:jc w:val="right"/>
              <w:rPr/>
            </w:pPr>
            <w:r>
              <w:rPr/>
              <w:t>(30,511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18.27</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June 30, 2026</w:t>
            </w:r>
          </w:p>
        </w:tc>
        <w:tc>
          <w:tcPr>
            <w:tcW w:w="9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pPr>
            <w:r>
              <w:rPr/>
              <w:t>1,173,031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19.59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RSU award activity for awards with market conditions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6103" w:type="dxa"/>
        <w:jc w:val="left"/>
        <w:tblInd w:w="0" w:type="dxa"/>
        <w:tblLayout w:type="fixed"/>
        <w:tblCellMar>
          <w:top w:w="0" w:type="dxa"/>
          <w:left w:w="0" w:type="dxa"/>
          <w:bottom w:w="0" w:type="dxa"/>
          <w:right w:w="0" w:type="dxa"/>
        </w:tblCellMar>
      </w:tblPr>
      <w:tblGrid>
        <w:gridCol w:w="3215"/>
        <w:gridCol w:w="90"/>
        <w:gridCol w:w="119"/>
        <w:gridCol w:w="1100"/>
        <w:gridCol w:w="90"/>
        <w:gridCol w:w="90"/>
        <w:gridCol w:w="282"/>
        <w:gridCol w:w="982"/>
        <w:gridCol w:w="135"/>
      </w:tblGrid>
      <w:tr>
        <w:trPr/>
        <w:tc>
          <w:tcPr>
            <w:tcW w:w="3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Weighted </w:t>
              <w:br/>
              <w:t>Average</w:t>
              <w:br/>
              <w:t xml:space="preserve">Grant Date </w:t>
              <w:br/>
              <w:t xml:space="preserve">Fair </w:t>
              <w:br/>
              <w:t>Value</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December 31, 2025</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20.79</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119"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June 30, 2026</w:t>
            </w:r>
          </w:p>
        </w:tc>
        <w:tc>
          <w:tcPr>
            <w:tcW w:w="9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112,500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20.79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was $16.3 million of total unrecognized compensation cost related to non-vested restricted stock units, which is expected to be recognized over a weighted-average period of 1.9 years.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fair market value of non-vested restricted stock units was $29.9 million.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that would be received to sell an asset or paid to transfer a liability in an orderly transaction between market participants at the measurement date. In determining fair value, the Company uses various methods including market, income and cost approaches. Based upon these approaches, the Company often utilizes certain assumptions that market participants would use in pricing the asset or liability, including assumptions about risk and/or the risks inherent in the inputs to the valuation technique. These inputs can be readily observable, market-corroborated, or unobservable inputs. The Company utilizes valuation techniques that maximize the use of observable inputs and minimize the use of unobservable inputs. Based upon observable inputs used in the valuation techniques, the Company is required to provide information according to the fair value hierarchy. The fair value hierarchy ranks the quality and reliability of the information used to determine fair values into three broad levels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671"/>
        <w:gridCol w:w="9429"/>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Valuations for assets and liabilities traded in active markets from readily available pricing sources for market transactions involving identical assets or liabilities.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left"/>
              <w:rPr>
                <w:caps w:val="false"/>
                <w:smallCaps w:val="false"/>
              </w:rPr>
            </w:pPr>
            <w:r>
              <w:rPr>
                <w:caps w:val="false"/>
                <w:smallCaps w:val="false"/>
              </w:rPr>
              <w:t> </w:t>
            </w:r>
          </w:p>
        </w:tc>
        <w:tc>
          <w:tcPr>
            <w:tcW w:w="94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Valuations for assets and liabilities traded in less active dealer or broker markets. Valuations are obtained from third-party pricing services for identical or similar assets or liabilities.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left"/>
              <w:rPr>
                <w:caps w:val="false"/>
                <w:smallCaps w:val="false"/>
              </w:rPr>
            </w:pPr>
            <w:r>
              <w:rPr>
                <w:caps w:val="false"/>
                <w:smallCaps w:val="false"/>
              </w:rPr>
              <w:t> </w:t>
            </w:r>
          </w:p>
        </w:tc>
        <w:tc>
          <w:tcPr>
            <w:tcW w:w="94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Valuations incorporate certain assumptions and projections in determining the fair value assigned to such assets or liabilities.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instances where the determination of the fair value measurement is based upon inputs from different levels of the fair value hierarchy, the level in the fair value hierarchy within which the entire fair value measurement falls is based upon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Company’s financial assets and liabilities measured at fair value on a recurring basis as of June 30,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9676" w:type="dxa"/>
        <w:jc w:val="left"/>
        <w:tblInd w:w="0" w:type="dxa"/>
        <w:tblLayout w:type="fixed"/>
        <w:tblCellMar>
          <w:top w:w="0" w:type="dxa"/>
          <w:left w:w="0" w:type="dxa"/>
          <w:bottom w:w="0" w:type="dxa"/>
          <w:right w:w="0" w:type="dxa"/>
        </w:tblCellMar>
      </w:tblPr>
      <w:tblGrid>
        <w:gridCol w:w="5165"/>
        <w:gridCol w:w="90"/>
        <w:gridCol w:w="192"/>
        <w:gridCol w:w="803"/>
        <w:gridCol w:w="90"/>
        <w:gridCol w:w="90"/>
        <w:gridCol w:w="211"/>
        <w:gridCol w:w="884"/>
        <w:gridCol w:w="112"/>
        <w:gridCol w:w="112"/>
        <w:gridCol w:w="289"/>
        <w:gridCol w:w="495"/>
        <w:gridCol w:w="112"/>
        <w:gridCol w:w="112"/>
        <w:gridCol w:w="289"/>
        <w:gridCol w:w="495"/>
        <w:gridCol w:w="135"/>
      </w:tblGrid>
      <w:tr>
        <w:trPr/>
        <w:tc>
          <w:tcPr>
            <w:tcW w:w="5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Carrying</w:t>
              <w:br/>
              <w:t>Amount</w:t>
              <w:br/>
              <w:t>as of</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1"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Fair Value Measurements</w:t>
              <w:br/>
              <w:t>As of June 30, 2026</w:t>
            </w:r>
          </w:p>
        </w:tc>
        <w:tc>
          <w:tcPr>
            <w:tcW w:w="135"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43,106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43,106</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Investments in employee deferred compensation trusts</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5,275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5,275</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157" w:type="dxa"/>
        <w:jc w:val="left"/>
        <w:tblInd w:w="0" w:type="dxa"/>
        <w:tblLayout w:type="fixed"/>
        <w:tblCellMar>
          <w:top w:w="0" w:type="dxa"/>
          <w:left w:w="0" w:type="dxa"/>
          <w:bottom w:w="0" w:type="dxa"/>
          <w:right w:w="0" w:type="dxa"/>
        </w:tblCellMar>
      </w:tblPr>
      <w:tblGrid>
        <w:gridCol w:w="5165"/>
        <w:gridCol w:w="90"/>
        <w:gridCol w:w="278"/>
        <w:gridCol w:w="1166"/>
        <w:gridCol w:w="90"/>
        <w:gridCol w:w="90"/>
        <w:gridCol w:w="216"/>
        <w:gridCol w:w="903"/>
        <w:gridCol w:w="114"/>
        <w:gridCol w:w="114"/>
        <w:gridCol w:w="289"/>
        <w:gridCol w:w="495"/>
        <w:gridCol w:w="114"/>
        <w:gridCol w:w="114"/>
        <w:gridCol w:w="289"/>
        <w:gridCol w:w="495"/>
        <w:gridCol w:w="135"/>
      </w:tblGrid>
      <w:tr>
        <w:trPr/>
        <w:tc>
          <w:tcPr>
            <w:tcW w:w="5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Carrying</w:t>
              <w:br/>
              <w:t xml:space="preserve">Amount </w:t>
              <w:br/>
              <w:t xml:space="preserve">as of </w:t>
              <w:b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4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Fair Value Measurements </w:t>
              <w:br/>
              <w:t>As of December 31, 2025</w:t>
            </w:r>
          </w:p>
        </w:tc>
        <w:tc>
          <w:tcPr>
            <w:tcW w:w="135"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33,062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33,062</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Investments in employee deferred compensation trusts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4,467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4,467</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funds are included in cash and cash equivalents on the condensed consolidated balance sheets. Investments in employee deferred compensation trusts which are comprised of mutual funds are classified as trading securities are included in prepaid and other assets on the condensed consolidated balance sheets. For the six months ended June 30, 2026 and 2025, changes in the fair value of securities held in the rabbi trust and offsetting increases or decreases in the deferred compensation obligation totaled $379 thousand and $(52) thousand, respectively, and are recognized in other general and administrative expenses in the Company’s condensed consolidated statements of operations and comprehensive income (loss).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and cash equivalents including restricted cash, accounts receivable, accounts payable, and accrued expenses represent financial instruments. The carrying value of these financial instruments is a reasonable approximation of fair value due to the short-term nature of the instruments.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Prepaid Expenses and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 as of June 30, 2026 and December 31, 2025 consist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978" w:type="dxa"/>
        <w:jc w:val="left"/>
        <w:tblInd w:w="0" w:type="dxa"/>
        <w:tblLayout w:type="fixed"/>
        <w:tblCellMar>
          <w:top w:w="0" w:type="dxa"/>
          <w:left w:w="0" w:type="dxa"/>
          <w:bottom w:w="0" w:type="dxa"/>
          <w:right w:w="0" w:type="dxa"/>
        </w:tblCellMar>
      </w:tblPr>
      <w:tblGrid>
        <w:gridCol w:w="5165"/>
        <w:gridCol w:w="90"/>
        <w:gridCol w:w="174"/>
        <w:gridCol w:w="730"/>
        <w:gridCol w:w="90"/>
        <w:gridCol w:w="90"/>
        <w:gridCol w:w="290"/>
        <w:gridCol w:w="1214"/>
        <w:gridCol w:w="135"/>
      </w:tblGrid>
      <w:tr>
        <w:trPr/>
        <w:tc>
          <w:tcPr>
            <w:tcW w:w="5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3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Prepaid expenses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5,860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2,126</w:t>
            </w:r>
          </w:p>
        </w:tc>
        <w:tc>
          <w:tcPr>
            <w:tcW w:w="135"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Investments in employee deferred compensation trusts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5,275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4,467</w:t>
            </w:r>
          </w:p>
        </w:tc>
        <w:tc>
          <w:tcPr>
            <w:tcW w:w="13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Royalty advances (current and non-current)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3,778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1,295</w:t>
            </w:r>
          </w:p>
        </w:tc>
        <w:tc>
          <w:tcPr>
            <w:tcW w:w="135"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Income tax receivable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2,556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8,588</w:t>
            </w:r>
          </w:p>
        </w:tc>
        <w:tc>
          <w:tcPr>
            <w:tcW w:w="13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Employee retention credit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285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285</w:t>
            </w:r>
          </w:p>
        </w:tc>
        <w:tc>
          <w:tcPr>
            <w:tcW w:w="135"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tcMar>
              <w:bottom w:w="28" w:type="dxa"/>
            </w:tcMar>
            <w:vAlign w:val="center"/>
          </w:tcPr>
          <w:p>
            <w:pPr>
              <w:pStyle w:val="TableContents"/>
              <w:bidi w:val="0"/>
              <w:spacing w:before="0" w:after="283"/>
              <w:jc w:val="right"/>
              <w:rPr/>
            </w:pPr>
            <w:r>
              <w:rPr/>
              <w:t>145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tcMar>
              <w:bottom w:w="28" w:type="dxa"/>
            </w:tcMar>
            <w:vAlign w:val="center"/>
          </w:tcPr>
          <w:p>
            <w:pPr>
              <w:pStyle w:val="TableContents"/>
              <w:bidi w:val="0"/>
              <w:spacing w:before="0" w:after="283"/>
              <w:jc w:val="right"/>
              <w:rPr/>
            </w:pPr>
            <w:r>
              <w:rPr/>
              <w:t>112</w:t>
            </w:r>
          </w:p>
        </w:tc>
        <w:tc>
          <w:tcPr>
            <w:tcW w:w="13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double" w:sz="6" w:space="0" w:color="000000"/>
            </w:tcBorders>
            <w:shd w:fill="CCEEFF" w:val="clear"/>
            <w:tcMar>
              <w:bottom w:w="28" w:type="dxa"/>
            </w:tcMar>
            <w:vAlign w:val="center"/>
          </w:tcPr>
          <w:p>
            <w:pPr>
              <w:pStyle w:val="TableContents"/>
              <w:bidi w:val="0"/>
              <w:spacing w:before="0" w:after="283"/>
              <w:jc w:val="right"/>
              <w:rPr/>
            </w:pPr>
            <w:r>
              <w:rPr/>
              <w:t>17,899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jc w:val="right"/>
              <w:rPr/>
            </w:pPr>
            <w:r>
              <w:rPr/>
              <w:t>16,873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15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Company’s Board of Directors declared a quarterly cash dividend of $0.25 per common share. The dividend will be payable on September 28, 2026, to shareholders of record at the close of business on August 28,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 w:name="a_007"/>
      <w:bookmarkEnd w:id="9"/>
      <w:r>
        <w:rPr>
          <w:rFonts w:ascii="Times New Roman;Times;Serif" w:hAnsi="Times New Roman;Times;Serif"/>
          <w:b/>
          <w:i w:val="false"/>
          <w:caps w:val="false"/>
          <w:smallCaps w:val="false"/>
          <w:sz w:val="20"/>
        </w:rPr>
        <w:t>Item 2. 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of financial condition and results of operations should be read together with our condensed consolidated financial statements and notes thereto, which appear elsewhere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within the meaning of Section 27A of the Securities Act of 1933 and Section 21E of the Securities Exchange Act of 1934. For example, statements included in this Report regarding our financial position, business strategy and other plans and objectives for future operations, and assumptions and predictions about future product demand, supply, manufacturing, costs, marketing and pricing factors are all forward-looking statements. When we use words like “intend,” “anticipate,” “believe,” “estimate,” “plan” or “expect,” or other words of a similar import, we are making forward-looking statements. We believe that the assumptions and expectations reflected in such forward-looking statements are reasonable, based upon information available to us on the date hereof, but we cannot assure you that these assumptions and expectations will prove to have been correct or that we will take any action that we may presently be planning. We have disclosed certain important factors (e.g., see “Risk Factors”) that could cause our actual results to differ materially from our current expectations elsewhere in this Report. You should understand that forward-looking statements made in this Report are necessarily qualified by these factors. We are not undertaking to publicly update or revise any forward-looking statement if we obtain new information or upon the occurrence of future events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and estimates are included in the 2025 Annual Report on Form 10-K and did not materially change during the first six months of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New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 to the condensed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table sets forth, for the periods indicated, certain statement of income data as a percentage of net sales: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32"/>
        <w:gridCol w:w="90"/>
        <w:gridCol w:w="159"/>
        <w:gridCol w:w="833"/>
        <w:gridCol w:w="434"/>
        <w:gridCol w:w="159"/>
        <w:gridCol w:w="159"/>
        <w:gridCol w:w="833"/>
        <w:gridCol w:w="294"/>
        <w:gridCol w:w="90"/>
        <w:gridCol w:w="146"/>
        <w:gridCol w:w="769"/>
        <w:gridCol w:w="400"/>
        <w:gridCol w:w="146"/>
        <w:gridCol w:w="146"/>
        <w:gridCol w:w="769"/>
        <w:gridCol w:w="346"/>
      </w:tblGrid>
      <w:tr>
        <w:trPr/>
        <w:tc>
          <w:tcPr>
            <w:tcW w:w="4432"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5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br/>
              <w:t>(Unaudited)</w:t>
            </w:r>
          </w:p>
        </w:tc>
        <w:tc>
          <w:tcPr>
            <w:tcW w:w="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br/>
              <w:t>(Unaudited)</w:t>
            </w:r>
          </w:p>
        </w:tc>
        <w:tc>
          <w:tcPr>
            <w:tcW w:w="346" w:type="dxa"/>
            <w:tcBorders/>
            <w:vAlign w:val="center"/>
          </w:tcPr>
          <w:p>
            <w:pPr>
              <w:pStyle w:val="TableContents"/>
              <w:bidi w:val="0"/>
              <w:spacing w:before="0" w:after="283"/>
              <w:ind w:left="0" w:right="0" w:hanging="180"/>
              <w:jc w:val="left"/>
              <w:rPr/>
            </w:pPr>
            <w:r>
              <w:rPr/>
              <w:t> </w:t>
            </w:r>
          </w:p>
        </w:tc>
      </w:tr>
      <w:tr>
        <w:trPr/>
        <w:tc>
          <w:tcPr>
            <w:tcW w:w="44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34"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46" w:type="dxa"/>
            <w:tcBorders/>
            <w:vAlign w:val="center"/>
          </w:tcPr>
          <w:p>
            <w:pPr>
              <w:pStyle w:val="TableContents"/>
              <w:bidi w:val="0"/>
              <w:spacing w:before="0" w:after="283"/>
              <w:ind w:left="0" w:right="0" w:hanging="180"/>
              <w:jc w:val="left"/>
              <w:rPr/>
            </w:pPr>
            <w:r>
              <w:rPr/>
              <w:t> </w:t>
            </w:r>
          </w:p>
        </w:tc>
      </w:tr>
      <w:tr>
        <w:trPr/>
        <w:tc>
          <w:tcPr>
            <w:tcW w:w="4432"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100</w:t>
            </w:r>
          </w:p>
        </w:tc>
        <w:tc>
          <w:tcPr>
            <w:tcW w:w="434" w:type="dxa"/>
            <w:tcBorders/>
            <w:shd w:fill="CCEEFF" w:val="clear"/>
            <w:vAlign w:val="center"/>
          </w:tcPr>
          <w:p>
            <w:pPr>
              <w:pStyle w:val="TableContents"/>
              <w:bidi w:val="0"/>
              <w:spacing w:before="0" w:after="283"/>
              <w:jc w:val="left"/>
              <w:rPr/>
            </w:pPr>
            <w:r>
              <w:rPr/>
              <w:t>%</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100</w:t>
            </w:r>
          </w:p>
        </w:tc>
        <w:tc>
          <w:tcPr>
            <w:tcW w:w="294"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100</w:t>
            </w:r>
          </w:p>
        </w:tc>
        <w:tc>
          <w:tcPr>
            <w:tcW w:w="400" w:type="dxa"/>
            <w:tcBorders/>
            <w:shd w:fill="CCEEFF" w:val="cle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100</w:t>
            </w:r>
          </w:p>
        </w:tc>
        <w:tc>
          <w:tcPr>
            <w:tcW w:w="346" w:type="dxa"/>
            <w:tcBorders/>
            <w:shd w:fill="CCEEFF" w:val="clear"/>
            <w:vAlign w:val="center"/>
          </w:tcPr>
          <w:p>
            <w:pPr>
              <w:pStyle w:val="TableContents"/>
              <w:bidi w:val="0"/>
              <w:spacing w:before="0" w:after="283"/>
              <w:ind w:left="0" w:right="0" w:hanging="180"/>
              <w:jc w:val="left"/>
              <w:rPr/>
            </w:pPr>
            <w:r>
              <w:rPr/>
              <w:t>%</w:t>
            </w:r>
          </w:p>
        </w:tc>
      </w:tr>
      <w:tr>
        <w:trPr/>
        <w:tc>
          <w:tcPr>
            <w:tcW w:w="4432"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 </w:t>
            </w:r>
          </w:p>
        </w:tc>
        <w:tc>
          <w:tcPr>
            <w:tcW w:w="434"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 </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ind w:left="0" w:right="0" w:hanging="180"/>
              <w:jc w:val="left"/>
              <w:rPr/>
            </w:pPr>
            <w:r>
              <w:rPr/>
              <w:t> </w:t>
            </w:r>
          </w:p>
        </w:tc>
      </w:tr>
      <w:tr>
        <w:trPr/>
        <w:tc>
          <w:tcPr>
            <w:tcW w:w="4432" w:type="dxa"/>
            <w:tcBorders/>
            <w:shd w:fill="CCEEFF" w:val="clear"/>
            <w:vAlign w:val="center"/>
          </w:tcPr>
          <w:p>
            <w:pPr>
              <w:pStyle w:val="TableContents"/>
              <w:bidi w:val="0"/>
              <w:spacing w:before="0" w:after="283"/>
              <w:jc w:val="left"/>
              <w:rPr/>
            </w:pPr>
            <w:r>
              <w:rPr/>
              <w:t>Cost of goods</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49.4</w:t>
            </w:r>
          </w:p>
        </w:tc>
        <w:tc>
          <w:tcPr>
            <w:tcW w:w="434"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49.3</w:t>
            </w:r>
          </w:p>
        </w:tc>
        <w:tc>
          <w:tcPr>
            <w:tcW w:w="2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49.2</w:t>
            </w:r>
          </w:p>
        </w:tc>
        <w:tc>
          <w:tcPr>
            <w:tcW w:w="40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48.8</w:t>
            </w:r>
          </w:p>
        </w:tc>
        <w:tc>
          <w:tcPr>
            <w:tcW w:w="346" w:type="dxa"/>
            <w:tcBorders/>
            <w:shd w:fill="CCEEFF" w:val="clear"/>
            <w:vAlign w:val="center"/>
          </w:tcPr>
          <w:p>
            <w:pPr>
              <w:pStyle w:val="TableContents"/>
              <w:bidi w:val="0"/>
              <w:spacing w:before="0" w:after="283"/>
              <w:ind w:left="0" w:right="0" w:hanging="180"/>
              <w:jc w:val="left"/>
              <w:rPr/>
            </w:pPr>
            <w:r>
              <w:rPr/>
              <w:t> </w:t>
            </w:r>
          </w:p>
        </w:tc>
      </w:tr>
      <w:tr>
        <w:trPr/>
        <w:tc>
          <w:tcPr>
            <w:tcW w:w="4432" w:type="dxa"/>
            <w:tcBorders/>
            <w:vAlign w:val="center"/>
          </w:tcPr>
          <w:p>
            <w:pPr>
              <w:pStyle w:val="TableContents"/>
              <w:bidi w:val="0"/>
              <w:spacing w:before="0" w:after="283"/>
              <w:jc w:val="left"/>
              <w:rPr/>
            </w:pPr>
            <w:r>
              <w:rPr/>
              <w:t>Royalty expense</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16.6</w:t>
            </w:r>
          </w:p>
        </w:tc>
        <w:tc>
          <w:tcPr>
            <w:tcW w:w="434"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16.4</w:t>
            </w:r>
          </w:p>
        </w:tc>
        <w:tc>
          <w:tcPr>
            <w:tcW w:w="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16.3</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16.2</w:t>
            </w:r>
          </w:p>
        </w:tc>
        <w:tc>
          <w:tcPr>
            <w:tcW w:w="346" w:type="dxa"/>
            <w:tcBorders/>
            <w:vAlign w:val="center"/>
          </w:tcPr>
          <w:p>
            <w:pPr>
              <w:pStyle w:val="TableContents"/>
              <w:bidi w:val="0"/>
              <w:spacing w:before="0" w:after="283"/>
              <w:ind w:left="0" w:right="0" w:hanging="180"/>
              <w:jc w:val="left"/>
              <w:rPr/>
            </w:pPr>
            <w:r>
              <w:rPr/>
              <w:t> </w:t>
            </w:r>
          </w:p>
        </w:tc>
      </w:tr>
      <w:tr>
        <w:trPr/>
        <w:tc>
          <w:tcPr>
            <w:tcW w:w="4432" w:type="dxa"/>
            <w:tcBorders/>
            <w:shd w:fill="CCEEFF" w:val="clear"/>
            <w:vAlign w:val="center"/>
          </w:tcPr>
          <w:p>
            <w:pPr>
              <w:pStyle w:val="TableContents"/>
              <w:bidi w:val="0"/>
              <w:spacing w:before="0" w:after="283"/>
              <w:jc w:val="left"/>
              <w:rPr/>
            </w:pPr>
            <w:r>
              <w:rPr/>
              <w:t>Amortization of tools and molds</w:t>
            </w:r>
          </w:p>
        </w:tc>
        <w:tc>
          <w:tcPr>
            <w:tcW w:w="9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434"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2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40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pPr>
            <w:r>
              <w:rPr/>
              <w:t>1.4</w:t>
            </w:r>
          </w:p>
        </w:tc>
        <w:tc>
          <w:tcPr>
            <w:tcW w:w="346" w:type="dxa"/>
            <w:tcBorders/>
            <w:shd w:fill="CCEEFF" w:val="clear"/>
            <w:vAlign w:val="center"/>
          </w:tcPr>
          <w:p>
            <w:pPr>
              <w:pStyle w:val="TableContents"/>
              <w:bidi w:val="0"/>
              <w:spacing w:before="0" w:after="283"/>
              <w:ind w:left="0" w:right="0" w:hanging="180"/>
              <w:jc w:val="left"/>
              <w:rPr/>
            </w:pPr>
            <w:r>
              <w:rPr/>
              <w:t> </w:t>
            </w:r>
          </w:p>
        </w:tc>
      </w:tr>
      <w:tr>
        <w:trPr/>
        <w:tc>
          <w:tcPr>
            <w:tcW w:w="4432"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159" w:type="dxa"/>
            <w:tcBorders>
              <w:bottom w:val="single" w:sz="8" w:space="0" w:color="000000"/>
            </w:tcBorders>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tcMar>
              <w:bottom w:w="28" w:type="dxa"/>
            </w:tcMar>
            <w:vAlign w:val="center"/>
          </w:tcPr>
          <w:p>
            <w:pPr>
              <w:pStyle w:val="TableContents"/>
              <w:bidi w:val="0"/>
              <w:spacing w:before="0" w:after="283"/>
              <w:jc w:val="right"/>
              <w:rPr/>
            </w:pPr>
            <w:r>
              <w:rPr/>
              <w:t>67.7</w:t>
            </w:r>
          </w:p>
        </w:tc>
        <w:tc>
          <w:tcPr>
            <w:tcW w:w="434"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59" w:type="dxa"/>
            <w:tcBorders>
              <w:bottom w:val="single" w:sz="8" w:space="0" w:color="000000"/>
            </w:tcBorders>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tcMar>
              <w:bottom w:w="28" w:type="dxa"/>
            </w:tcMar>
            <w:vAlign w:val="center"/>
          </w:tcPr>
          <w:p>
            <w:pPr>
              <w:pStyle w:val="TableContents"/>
              <w:bidi w:val="0"/>
              <w:spacing w:before="0" w:after="283"/>
              <w:jc w:val="right"/>
              <w:rPr/>
            </w:pPr>
            <w:r>
              <w:rPr/>
              <w:t>67.2</w:t>
            </w:r>
          </w:p>
        </w:tc>
        <w:tc>
          <w:tcPr>
            <w:tcW w:w="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tcMar>
              <w:bottom w:w="28" w:type="dxa"/>
            </w:tcMar>
            <w:vAlign w:val="center"/>
          </w:tcPr>
          <w:p>
            <w:pPr>
              <w:pStyle w:val="TableContents"/>
              <w:bidi w:val="0"/>
              <w:spacing w:before="0" w:after="283"/>
              <w:jc w:val="right"/>
              <w:rPr/>
            </w:pPr>
            <w:r>
              <w:rPr/>
              <w:t>67.2</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tcMar>
              <w:bottom w:w="28" w:type="dxa"/>
            </w:tcMar>
            <w:vAlign w:val="center"/>
          </w:tcPr>
          <w:p>
            <w:pPr>
              <w:pStyle w:val="TableContents"/>
              <w:bidi w:val="0"/>
              <w:spacing w:before="0" w:after="283"/>
              <w:jc w:val="right"/>
              <w:rPr/>
            </w:pPr>
            <w:r>
              <w:rPr/>
              <w:t>66.4</w:t>
            </w:r>
          </w:p>
        </w:tc>
        <w:tc>
          <w:tcPr>
            <w:tcW w:w="346" w:type="dxa"/>
            <w:tcBorders/>
            <w:vAlign w:val="center"/>
          </w:tcPr>
          <w:p>
            <w:pPr>
              <w:pStyle w:val="TableContents"/>
              <w:bidi w:val="0"/>
              <w:spacing w:before="0" w:after="283"/>
              <w:ind w:left="0" w:right="0" w:hanging="180"/>
              <w:jc w:val="left"/>
              <w:rPr/>
            </w:pPr>
            <w:r>
              <w:rPr/>
              <w:t> </w:t>
            </w:r>
          </w:p>
        </w:tc>
      </w:tr>
      <w:tr>
        <w:trPr/>
        <w:tc>
          <w:tcPr>
            <w:tcW w:w="4432"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32.3</w:t>
            </w:r>
          </w:p>
        </w:tc>
        <w:tc>
          <w:tcPr>
            <w:tcW w:w="434"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32.8</w:t>
            </w:r>
          </w:p>
        </w:tc>
        <w:tc>
          <w:tcPr>
            <w:tcW w:w="2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32.8</w:t>
            </w:r>
          </w:p>
        </w:tc>
        <w:tc>
          <w:tcPr>
            <w:tcW w:w="40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33.6</w:t>
            </w:r>
          </w:p>
        </w:tc>
        <w:tc>
          <w:tcPr>
            <w:tcW w:w="346" w:type="dxa"/>
            <w:tcBorders/>
            <w:shd w:fill="CCEEFF" w:val="clear"/>
            <w:vAlign w:val="center"/>
          </w:tcPr>
          <w:p>
            <w:pPr>
              <w:pStyle w:val="TableContents"/>
              <w:bidi w:val="0"/>
              <w:spacing w:before="0" w:after="283"/>
              <w:ind w:left="0" w:right="0" w:hanging="180"/>
              <w:jc w:val="left"/>
              <w:rPr/>
            </w:pPr>
            <w:r>
              <w:rPr/>
              <w:t> </w:t>
            </w:r>
          </w:p>
        </w:tc>
      </w:tr>
      <w:tr>
        <w:trPr/>
        <w:tc>
          <w:tcPr>
            <w:tcW w:w="4432" w:type="dxa"/>
            <w:tcBorders/>
            <w:vAlign w:val="center"/>
          </w:tcPr>
          <w:p>
            <w:pPr>
              <w:pStyle w:val="TableContents"/>
              <w:bidi w:val="0"/>
              <w:spacing w:before="0" w:after="283"/>
              <w:jc w:val="left"/>
              <w:rPr/>
            </w:pPr>
            <w:r>
              <w:rPr/>
              <w:t>Direct selling expenses</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6.1</w:t>
            </w:r>
          </w:p>
        </w:tc>
        <w:tc>
          <w:tcPr>
            <w:tcW w:w="434"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5.6</w:t>
            </w:r>
          </w:p>
        </w:tc>
        <w:tc>
          <w:tcPr>
            <w:tcW w:w="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6.8</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6.6</w:t>
            </w:r>
          </w:p>
        </w:tc>
        <w:tc>
          <w:tcPr>
            <w:tcW w:w="346" w:type="dxa"/>
            <w:tcBorders/>
            <w:vAlign w:val="center"/>
          </w:tcPr>
          <w:p>
            <w:pPr>
              <w:pStyle w:val="TableContents"/>
              <w:bidi w:val="0"/>
              <w:spacing w:before="0" w:after="283"/>
              <w:ind w:left="0" w:right="0" w:hanging="180"/>
              <w:jc w:val="left"/>
              <w:rPr/>
            </w:pPr>
            <w:r>
              <w:rPr/>
              <w:t> </w:t>
            </w:r>
          </w:p>
        </w:tc>
      </w:tr>
      <w:tr>
        <w:trPr/>
        <w:tc>
          <w:tcPr>
            <w:tcW w:w="4432"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26.2</w:t>
            </w:r>
          </w:p>
        </w:tc>
        <w:tc>
          <w:tcPr>
            <w:tcW w:w="434"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29.4</w:t>
            </w:r>
          </w:p>
        </w:tc>
        <w:tc>
          <w:tcPr>
            <w:tcW w:w="2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28.2</w:t>
            </w:r>
          </w:p>
        </w:tc>
        <w:tc>
          <w:tcPr>
            <w:tcW w:w="40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29.7</w:t>
            </w:r>
          </w:p>
        </w:tc>
        <w:tc>
          <w:tcPr>
            <w:tcW w:w="346" w:type="dxa"/>
            <w:tcBorders/>
            <w:shd w:fill="CCEEFF" w:val="clear"/>
            <w:vAlign w:val="center"/>
          </w:tcPr>
          <w:p>
            <w:pPr>
              <w:pStyle w:val="TableContents"/>
              <w:bidi w:val="0"/>
              <w:spacing w:before="0" w:after="283"/>
              <w:ind w:left="0" w:right="0" w:hanging="180"/>
              <w:jc w:val="left"/>
              <w:rPr/>
            </w:pPr>
            <w:r>
              <w:rPr/>
              <w:t> </w:t>
            </w:r>
          </w:p>
        </w:tc>
      </w:tr>
      <w:tr>
        <w:trPr/>
        <w:tc>
          <w:tcPr>
            <w:tcW w:w="4432"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59" w:type="dxa"/>
            <w:tcBorders>
              <w:bottom w:val="single" w:sz="8" w:space="0" w:color="000000"/>
            </w:tcBorders>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tcMar>
              <w:bottom w:w="28" w:type="dxa"/>
            </w:tcMar>
            <w:vAlign w:val="center"/>
          </w:tcPr>
          <w:p>
            <w:pPr>
              <w:pStyle w:val="TableContents"/>
              <w:bidi w:val="0"/>
              <w:spacing w:before="0" w:after="283"/>
              <w:jc w:val="right"/>
              <w:rPr/>
            </w:pPr>
            <w:r>
              <w:rPr/>
              <w:t>0.1</w:t>
            </w:r>
          </w:p>
        </w:tc>
        <w:tc>
          <w:tcPr>
            <w:tcW w:w="434"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59" w:type="dxa"/>
            <w:tcBorders>
              <w:bottom w:val="single" w:sz="8" w:space="0" w:color="000000"/>
            </w:tcBorders>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tcMar>
              <w:bottom w:w="28" w:type="dxa"/>
            </w:tcMar>
            <w:vAlign w:val="center"/>
          </w:tcPr>
          <w:p>
            <w:pPr>
              <w:pStyle w:val="TableContents"/>
              <w:bidi w:val="0"/>
              <w:spacing w:before="0" w:after="283"/>
              <w:jc w:val="right"/>
              <w:rPr/>
            </w:pPr>
            <w:r>
              <w:rPr/>
              <w:t>0.1</w:t>
            </w:r>
          </w:p>
        </w:tc>
        <w:tc>
          <w:tcPr>
            <w:tcW w:w="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tcMar>
              <w:bottom w:w="28" w:type="dxa"/>
            </w:tcMar>
            <w:vAlign w:val="center"/>
          </w:tcPr>
          <w:p>
            <w:pPr>
              <w:pStyle w:val="TableContents"/>
              <w:bidi w:val="0"/>
              <w:spacing w:before="0" w:after="283"/>
              <w:jc w:val="right"/>
              <w:rPr/>
            </w:pPr>
            <w:r>
              <w:rPr/>
              <w:t>0.1</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tcMar>
              <w:bottom w:w="28" w:type="dxa"/>
            </w:tcMar>
            <w:vAlign w:val="center"/>
          </w:tcPr>
          <w:p>
            <w:pPr>
              <w:pStyle w:val="TableContents"/>
              <w:bidi w:val="0"/>
              <w:spacing w:before="0" w:after="283"/>
              <w:jc w:val="right"/>
              <w:rPr/>
            </w:pPr>
            <w:r>
              <w:rPr/>
              <w:t>0.1</w:t>
            </w:r>
          </w:p>
        </w:tc>
        <w:tc>
          <w:tcPr>
            <w:tcW w:w="346" w:type="dxa"/>
            <w:tcBorders/>
            <w:vAlign w:val="center"/>
          </w:tcPr>
          <w:p>
            <w:pPr>
              <w:pStyle w:val="TableContents"/>
              <w:bidi w:val="0"/>
              <w:spacing w:before="0" w:after="283"/>
              <w:ind w:left="0" w:right="0" w:hanging="180"/>
              <w:jc w:val="left"/>
              <w:rPr/>
            </w:pPr>
            <w:r>
              <w:rPr/>
              <w:t> </w:t>
            </w:r>
          </w:p>
        </w:tc>
      </w:tr>
      <w:tr>
        <w:trPr/>
        <w:tc>
          <w:tcPr>
            <w:tcW w:w="4432" w:type="dxa"/>
            <w:tcBorders/>
            <w:shd w:fill="CCEEFF" w:val="clear"/>
            <w:vAlign w:val="center"/>
          </w:tcPr>
          <w:p>
            <w:pPr>
              <w:pStyle w:val="TableContents"/>
              <w:bidi w:val="0"/>
              <w:spacing w:before="0" w:after="283"/>
              <w:jc w:val="left"/>
              <w:rPr/>
            </w:pPr>
            <w:r>
              <w:rPr/>
              <w:t>Selling, general and administrative expenses</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32.4</w:t>
            </w:r>
          </w:p>
        </w:tc>
        <w:tc>
          <w:tcPr>
            <w:tcW w:w="434"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35.1</w:t>
            </w:r>
          </w:p>
        </w:tc>
        <w:tc>
          <w:tcPr>
            <w:tcW w:w="2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35.1</w:t>
            </w:r>
          </w:p>
        </w:tc>
        <w:tc>
          <w:tcPr>
            <w:tcW w:w="40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36.4</w:t>
            </w:r>
          </w:p>
        </w:tc>
        <w:tc>
          <w:tcPr>
            <w:tcW w:w="346" w:type="dxa"/>
            <w:tcBorders/>
            <w:shd w:fill="CCEEFF" w:val="clear"/>
            <w:vAlign w:val="center"/>
          </w:tcPr>
          <w:p>
            <w:pPr>
              <w:pStyle w:val="TableContents"/>
              <w:bidi w:val="0"/>
              <w:spacing w:before="0" w:after="283"/>
              <w:ind w:left="0" w:right="0" w:hanging="180"/>
              <w:jc w:val="left"/>
              <w:rPr/>
            </w:pPr>
            <w:r>
              <w:rPr/>
              <w:t> </w:t>
            </w:r>
          </w:p>
        </w:tc>
      </w:tr>
      <w:tr>
        <w:trPr/>
        <w:tc>
          <w:tcPr>
            <w:tcW w:w="4432"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(0.1</w:t>
            </w:r>
          </w:p>
        </w:tc>
        <w:tc>
          <w:tcPr>
            <w:tcW w:w="434"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(2.3</w:t>
            </w:r>
          </w:p>
        </w:tc>
        <w:tc>
          <w:tcPr>
            <w:tcW w:w="294"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(2.3</w:t>
            </w:r>
          </w:p>
        </w:tc>
        <w:tc>
          <w:tcPr>
            <w:tcW w:w="40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(2.8</w:t>
            </w:r>
          </w:p>
        </w:tc>
        <w:tc>
          <w:tcPr>
            <w:tcW w:w="346" w:type="dxa"/>
            <w:tcBorders/>
            <w:vAlign w:val="center"/>
          </w:tcPr>
          <w:p>
            <w:pPr>
              <w:pStyle w:val="TableContents"/>
              <w:bidi w:val="0"/>
              <w:spacing w:before="0" w:after="283"/>
              <w:ind w:left="0" w:right="0" w:hanging="180"/>
              <w:jc w:val="left"/>
              <w:rPr/>
            </w:pPr>
            <w:r>
              <w:rPr/>
              <w:t>)</w:t>
            </w:r>
          </w:p>
        </w:tc>
      </w:tr>
      <w:tr>
        <w:trPr/>
        <w:tc>
          <w:tcPr>
            <w:tcW w:w="4432" w:type="dxa"/>
            <w:tcBorders/>
            <w:shd w:fill="CCEEFF" w:val="clear"/>
            <w:vAlign w:val="center"/>
          </w:tcPr>
          <w:p>
            <w:pPr>
              <w:pStyle w:val="TableContents"/>
              <w:bidi w:val="0"/>
              <w:spacing w:before="0" w:after="283"/>
              <w:jc w:val="left"/>
              <w:rPr/>
            </w:pPr>
            <w:r>
              <w:rPr/>
              <w:t>Other income (expense), net</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5.0</w:t>
            </w:r>
          </w:p>
        </w:tc>
        <w:tc>
          <w:tcPr>
            <w:tcW w:w="434"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2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2.8</w:t>
            </w:r>
          </w:p>
        </w:tc>
        <w:tc>
          <w:tcPr>
            <w:tcW w:w="40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346" w:type="dxa"/>
            <w:tcBorders/>
            <w:shd w:fill="CCEEFF" w:val="clear"/>
            <w:vAlign w:val="center"/>
          </w:tcPr>
          <w:p>
            <w:pPr>
              <w:pStyle w:val="TableContents"/>
              <w:bidi w:val="0"/>
              <w:spacing w:before="0" w:after="283"/>
              <w:ind w:left="0" w:right="0" w:hanging="180"/>
              <w:jc w:val="left"/>
              <w:rPr/>
            </w:pPr>
            <w:r>
              <w:rPr/>
              <w:t> </w:t>
            </w:r>
          </w:p>
        </w:tc>
      </w:tr>
      <w:tr>
        <w:trPr/>
        <w:tc>
          <w:tcPr>
            <w:tcW w:w="4432" w:type="dxa"/>
            <w:tcBorders/>
            <w:vAlign w:val="center"/>
          </w:tcPr>
          <w:p>
            <w:pPr>
              <w:pStyle w:val="TableContents"/>
              <w:bidi w:val="0"/>
              <w:spacing w:before="0" w:after="283"/>
              <w:jc w:val="left"/>
              <w:rPr/>
            </w:pPr>
            <w:r>
              <w:rPr/>
              <w:t>Loss on debt extinguishment</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w:t>
            </w:r>
          </w:p>
        </w:tc>
        <w:tc>
          <w:tcPr>
            <w:tcW w:w="434"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(0.4</w:t>
            </w:r>
          </w:p>
        </w:tc>
        <w:tc>
          <w:tcPr>
            <w:tcW w:w="294"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(0.2</w:t>
            </w:r>
          </w:p>
        </w:tc>
        <w:tc>
          <w:tcPr>
            <w:tcW w:w="346" w:type="dxa"/>
            <w:tcBorders/>
            <w:vAlign w:val="center"/>
          </w:tcPr>
          <w:p>
            <w:pPr>
              <w:pStyle w:val="TableContents"/>
              <w:bidi w:val="0"/>
              <w:spacing w:before="0" w:after="283"/>
              <w:ind w:left="0" w:right="0" w:hanging="180"/>
              <w:jc w:val="left"/>
              <w:rPr/>
            </w:pPr>
            <w:r>
              <w:rPr/>
              <w:t>)</w:t>
            </w:r>
          </w:p>
        </w:tc>
      </w:tr>
      <w:tr>
        <w:trPr/>
        <w:tc>
          <w:tcPr>
            <w:tcW w:w="4432"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0.6</w:t>
            </w:r>
          </w:p>
        </w:tc>
        <w:tc>
          <w:tcPr>
            <w:tcW w:w="434"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0.3</w:t>
            </w:r>
          </w:p>
        </w:tc>
        <w:tc>
          <w:tcPr>
            <w:tcW w:w="2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0.5</w:t>
            </w:r>
          </w:p>
        </w:tc>
        <w:tc>
          <w:tcPr>
            <w:tcW w:w="40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0.3</w:t>
            </w:r>
          </w:p>
        </w:tc>
        <w:tc>
          <w:tcPr>
            <w:tcW w:w="346" w:type="dxa"/>
            <w:tcBorders/>
            <w:shd w:fill="CCEEFF" w:val="clear"/>
            <w:vAlign w:val="center"/>
          </w:tcPr>
          <w:p>
            <w:pPr>
              <w:pStyle w:val="TableContents"/>
              <w:bidi w:val="0"/>
              <w:spacing w:before="0" w:after="283"/>
              <w:ind w:left="0" w:right="0" w:hanging="180"/>
              <w:jc w:val="left"/>
              <w:rPr/>
            </w:pPr>
            <w:r>
              <w:rPr/>
              <w:t> </w:t>
            </w:r>
          </w:p>
        </w:tc>
      </w:tr>
      <w:tr>
        <w:trPr/>
        <w:tc>
          <w:tcPr>
            <w:tcW w:w="4432"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59" w:type="dxa"/>
            <w:tcBorders>
              <w:bottom w:val="single" w:sz="8" w:space="0" w:color="000000"/>
            </w:tcBorders>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tcMar>
              <w:bottom w:w="28" w:type="dxa"/>
            </w:tcMar>
            <w:vAlign w:val="center"/>
          </w:tcPr>
          <w:p>
            <w:pPr>
              <w:pStyle w:val="TableContents"/>
              <w:bidi w:val="0"/>
              <w:spacing w:before="0" w:after="283"/>
              <w:jc w:val="right"/>
              <w:rPr/>
            </w:pPr>
            <w:r>
              <w:rPr/>
              <w:t>(0.1</w:t>
            </w:r>
          </w:p>
        </w:tc>
        <w:tc>
          <w:tcPr>
            <w:tcW w:w="434"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 </w:t>
            </w:r>
          </w:p>
        </w:tc>
        <w:tc>
          <w:tcPr>
            <w:tcW w:w="159" w:type="dxa"/>
            <w:tcBorders>
              <w:bottom w:val="single" w:sz="8" w:space="0" w:color="000000"/>
            </w:tcBorders>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tcMar>
              <w:bottom w:w="28" w:type="dxa"/>
            </w:tcMar>
            <w:vAlign w:val="center"/>
          </w:tcPr>
          <w:p>
            <w:pPr>
              <w:pStyle w:val="TableContents"/>
              <w:bidi w:val="0"/>
              <w:spacing w:before="0" w:after="283"/>
              <w:jc w:val="right"/>
              <w:rPr/>
            </w:pPr>
            <w:r>
              <w:rPr/>
              <w:t>(0.1</w:t>
            </w:r>
          </w:p>
        </w:tc>
        <w:tc>
          <w:tcPr>
            <w:tcW w:w="294"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tcMar>
              <w:bottom w:w="28" w:type="dxa"/>
            </w:tcMar>
            <w:vAlign w:val="center"/>
          </w:tcPr>
          <w:p>
            <w:pPr>
              <w:pStyle w:val="TableContents"/>
              <w:bidi w:val="0"/>
              <w:spacing w:before="0" w:after="283"/>
              <w:jc w:val="right"/>
              <w:rPr/>
            </w:pPr>
            <w:r>
              <w:rPr/>
              <w:t>(0.1</w:t>
            </w:r>
          </w:p>
        </w:tc>
        <w:tc>
          <w:tcPr>
            <w:tcW w:w="40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tcMar>
              <w:bottom w:w="28" w:type="dxa"/>
            </w:tcMar>
            <w:vAlign w:val="center"/>
          </w:tcPr>
          <w:p>
            <w:pPr>
              <w:pStyle w:val="TableContents"/>
              <w:bidi w:val="0"/>
              <w:spacing w:before="0" w:after="283"/>
              <w:jc w:val="right"/>
              <w:rPr/>
            </w:pPr>
            <w:r>
              <w:rPr/>
              <w:t>(0.1</w:t>
            </w:r>
          </w:p>
        </w:tc>
        <w:tc>
          <w:tcPr>
            <w:tcW w:w="346" w:type="dxa"/>
            <w:tcBorders/>
            <w:vAlign w:val="center"/>
          </w:tcPr>
          <w:p>
            <w:pPr>
              <w:pStyle w:val="TableContents"/>
              <w:bidi w:val="0"/>
              <w:spacing w:before="0" w:after="283"/>
              <w:ind w:left="0" w:right="0" w:hanging="180"/>
              <w:jc w:val="left"/>
              <w:rPr/>
            </w:pPr>
            <w:r>
              <w:rPr/>
              <w:t>)</w:t>
            </w:r>
          </w:p>
        </w:tc>
      </w:tr>
      <w:tr>
        <w:trPr/>
        <w:tc>
          <w:tcPr>
            <w:tcW w:w="4432" w:type="dxa"/>
            <w:tcBorders/>
            <w:shd w:fill="CCEEFF" w:val="clear"/>
            <w:vAlign w:val="center"/>
          </w:tcPr>
          <w:p>
            <w:pPr>
              <w:pStyle w:val="TableContents"/>
              <w:bidi w:val="0"/>
              <w:spacing w:before="0" w:after="283"/>
              <w:jc w:val="left"/>
              <w:rPr/>
            </w:pPr>
            <w:r>
              <w:rPr/>
              <w:t>Income (loss) before provision for (benefit from) income taxes</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5.4</w:t>
            </w:r>
          </w:p>
        </w:tc>
        <w:tc>
          <w:tcPr>
            <w:tcW w:w="434"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(2.5</w:t>
            </w:r>
          </w:p>
        </w:tc>
        <w:tc>
          <w:tcPr>
            <w:tcW w:w="294"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0.9</w:t>
            </w:r>
          </w:p>
        </w:tc>
        <w:tc>
          <w:tcPr>
            <w:tcW w:w="40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(2.8</w:t>
            </w:r>
          </w:p>
        </w:tc>
        <w:tc>
          <w:tcPr>
            <w:tcW w:w="346" w:type="dxa"/>
            <w:tcBorders/>
            <w:shd w:fill="CCEEFF" w:val="clear"/>
            <w:vAlign w:val="center"/>
          </w:tcPr>
          <w:p>
            <w:pPr>
              <w:pStyle w:val="TableContents"/>
              <w:bidi w:val="0"/>
              <w:spacing w:before="0" w:after="283"/>
              <w:ind w:left="0" w:right="0" w:hanging="180"/>
              <w:jc w:val="left"/>
              <w:rPr/>
            </w:pPr>
            <w:r>
              <w:rPr/>
              <w:t>)</w:t>
            </w:r>
          </w:p>
        </w:tc>
      </w:tr>
      <w:tr>
        <w:trPr/>
        <w:tc>
          <w:tcPr>
            <w:tcW w:w="4432" w:type="dxa"/>
            <w:tcBorders/>
            <w:vAlign w:val="center"/>
          </w:tcPr>
          <w:p>
            <w:pPr>
              <w:pStyle w:val="TableContents"/>
              <w:bidi w:val="0"/>
              <w:spacing w:before="0" w:after="283"/>
              <w:jc w:val="left"/>
              <w:rPr/>
            </w:pPr>
            <w:r>
              <w:rPr/>
              <w:t>Provision for (benefit from) income taxes</w:t>
            </w:r>
          </w:p>
        </w:tc>
        <w:tc>
          <w:tcPr>
            <w:tcW w:w="90" w:type="dxa"/>
            <w:tcBorders/>
            <w:vAlign w:val="center"/>
          </w:tcPr>
          <w:p>
            <w:pPr>
              <w:pStyle w:val="TableContents"/>
              <w:bidi w:val="0"/>
              <w:spacing w:before="0" w:after="283"/>
              <w:jc w:val="left"/>
              <w:rPr/>
            </w:pPr>
            <w:r>
              <w:rPr/>
              <w:t> </w:t>
            </w:r>
          </w:p>
        </w:tc>
        <w:tc>
          <w:tcPr>
            <w:tcW w:w="159" w:type="dxa"/>
            <w:tcBorders>
              <w:bottom w:val="single" w:sz="8" w:space="0" w:color="000000"/>
            </w:tcBorders>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tcMar>
              <w:bottom w:w="28" w:type="dxa"/>
            </w:tcMar>
            <w:vAlign w:val="center"/>
          </w:tcPr>
          <w:p>
            <w:pPr>
              <w:pStyle w:val="TableContents"/>
              <w:bidi w:val="0"/>
              <w:spacing w:before="0" w:after="283"/>
              <w:jc w:val="right"/>
              <w:rPr/>
            </w:pPr>
            <w:r>
              <w:rPr/>
              <w:t>1.2</w:t>
            </w:r>
          </w:p>
        </w:tc>
        <w:tc>
          <w:tcPr>
            <w:tcW w:w="434"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59" w:type="dxa"/>
            <w:tcBorders>
              <w:bottom w:val="single" w:sz="8" w:space="0" w:color="000000"/>
            </w:tcBorders>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tcMar>
              <w:bottom w:w="28" w:type="dxa"/>
            </w:tcMar>
            <w:vAlign w:val="center"/>
          </w:tcPr>
          <w:p>
            <w:pPr>
              <w:pStyle w:val="TableContents"/>
              <w:bidi w:val="0"/>
              <w:spacing w:before="0" w:after="283"/>
              <w:jc w:val="right"/>
              <w:rPr/>
            </w:pPr>
            <w:r>
              <w:rPr/>
              <w:t>(0.6</w:t>
            </w:r>
          </w:p>
        </w:tc>
        <w:tc>
          <w:tcPr>
            <w:tcW w:w="294"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tcMar>
              <w:bottom w:w="28" w:type="dxa"/>
            </w:tcMar>
            <w:vAlign w:val="center"/>
          </w:tcPr>
          <w:p>
            <w:pPr>
              <w:pStyle w:val="TableContents"/>
              <w:bidi w:val="0"/>
              <w:spacing w:before="0" w:after="283"/>
              <w:jc w:val="right"/>
              <w:rPr/>
            </w:pPr>
            <w:r>
              <w:rPr/>
              <w:t>0.3</w:t>
            </w:r>
          </w:p>
        </w:tc>
        <w:tc>
          <w:tcPr>
            <w:tcW w:w="4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tcMar>
              <w:bottom w:w="28" w:type="dxa"/>
            </w:tcMar>
            <w:vAlign w:val="center"/>
          </w:tcPr>
          <w:p>
            <w:pPr>
              <w:pStyle w:val="TableContents"/>
              <w:bidi w:val="0"/>
              <w:spacing w:before="0" w:after="283"/>
              <w:jc w:val="right"/>
              <w:rPr/>
            </w:pPr>
            <w:r>
              <w:rPr/>
              <w:t>(0.8</w:t>
            </w:r>
          </w:p>
        </w:tc>
        <w:tc>
          <w:tcPr>
            <w:tcW w:w="346" w:type="dxa"/>
            <w:tcBorders/>
            <w:vAlign w:val="center"/>
          </w:tcPr>
          <w:p>
            <w:pPr>
              <w:pStyle w:val="TableContents"/>
              <w:bidi w:val="0"/>
              <w:spacing w:before="0" w:after="283"/>
              <w:ind w:left="0" w:right="0" w:hanging="180"/>
              <w:jc w:val="left"/>
              <w:rPr/>
            </w:pPr>
            <w:r>
              <w:rPr/>
              <w:t>)</w:t>
            </w:r>
          </w:p>
        </w:tc>
      </w:tr>
      <w:tr>
        <w:trPr/>
        <w:tc>
          <w:tcPr>
            <w:tcW w:w="4432"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4.2</w:t>
            </w:r>
          </w:p>
        </w:tc>
        <w:tc>
          <w:tcPr>
            <w:tcW w:w="434" w:type="dxa"/>
            <w:tcBorders/>
            <w:shd w:fill="CCEEFF" w:val="clear"/>
            <w:vAlign w:val="center"/>
          </w:tcPr>
          <w:p>
            <w:pPr>
              <w:pStyle w:val="TableContents"/>
              <w:bidi w:val="0"/>
              <w:spacing w:before="0" w:after="283"/>
              <w:jc w:val="left"/>
              <w:rPr/>
            </w:pPr>
            <w:r>
              <w:rPr/>
              <w:t>%</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(1.9</w:t>
            </w:r>
          </w:p>
        </w:tc>
        <w:tc>
          <w:tcPr>
            <w:tcW w:w="294"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0.6</w:t>
            </w:r>
          </w:p>
        </w:tc>
        <w:tc>
          <w:tcPr>
            <w:tcW w:w="400" w:type="dxa"/>
            <w:tcBorders/>
            <w:shd w:fill="CCEEFF" w:val="cle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(2.0</w:t>
            </w:r>
          </w:p>
        </w:tc>
        <w:tc>
          <w:tcPr>
            <w:tcW w:w="34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table sets forth, for the periods indicated, certain statements of operations data by segment (in thousands):</w:t>
      </w:r>
    </w:p>
    <w:p>
      <w:pPr>
        <w:pStyle w:val="TextBody"/>
        <w:bidi w:val="0"/>
        <w:spacing w:before="0" w:after="0"/>
        <w:ind w:left="0" w:right="0" w:hanging="0"/>
        <w:jc w:val="left"/>
        <w:rPr>
          <w:caps w:val="false"/>
          <w:smallCaps w:val="false"/>
        </w:rPr>
      </w:pPr>
      <w:r>
        <w:rPr>
          <w:caps w:val="false"/>
          <w:smallCaps w:val="false"/>
        </w:rPr>
        <w:t> </w:t>
      </w:r>
    </w:p>
    <w:tbl>
      <w:tblPr>
        <w:tblW w:w="7286" w:type="dxa"/>
        <w:jc w:val="left"/>
        <w:tblInd w:w="0" w:type="dxa"/>
        <w:tblLayout w:type="fixed"/>
        <w:tblCellMar>
          <w:top w:w="0" w:type="dxa"/>
          <w:left w:w="0" w:type="dxa"/>
          <w:bottom w:w="0" w:type="dxa"/>
          <w:right w:w="0" w:type="dxa"/>
        </w:tblCellMar>
      </w:tblPr>
      <w:tblGrid>
        <w:gridCol w:w="2465"/>
        <w:gridCol w:w="90"/>
        <w:gridCol w:w="174"/>
        <w:gridCol w:w="852"/>
        <w:gridCol w:w="92"/>
        <w:gridCol w:w="92"/>
        <w:gridCol w:w="174"/>
        <w:gridCol w:w="852"/>
        <w:gridCol w:w="90"/>
        <w:gridCol w:w="90"/>
        <w:gridCol w:w="170"/>
        <w:gridCol w:w="830"/>
        <w:gridCol w:w="90"/>
        <w:gridCol w:w="90"/>
        <w:gridCol w:w="170"/>
        <w:gridCol w:w="830"/>
        <w:gridCol w:w="135"/>
      </w:tblGrid>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6"/>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0" w:type="dxa"/>
            <w:gridSpan w:val="6"/>
            <w:tcBorders/>
            <w:vAlign w:val="center"/>
          </w:tcPr>
          <w:p>
            <w:pPr>
              <w:pStyle w:val="TableContents"/>
              <w:bidi w:val="0"/>
              <w:spacing w:before="0" w:after="283"/>
              <w:jc w:val="center"/>
              <w:rPr>
                <w:b/>
              </w:rPr>
            </w:pPr>
            <w:r>
              <w:rPr>
                <w:b/>
              </w:rPr>
              <w:t>Six Months Ended</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1026"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26"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Toys/Consumer Products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97,507</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80,379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197,602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187,817</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Costumes</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tcMar>
              <w:bottom w:w="28" w:type="dxa"/>
            </w:tcMar>
            <w:vAlign w:val="center"/>
          </w:tcPr>
          <w:p>
            <w:pPr>
              <w:pStyle w:val="TableContents"/>
              <w:bidi w:val="0"/>
              <w:spacing w:before="0" w:after="283"/>
              <w:jc w:val="right"/>
              <w:rPr/>
            </w:pPr>
            <w:r>
              <w:rPr/>
              <w:t>41,731</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tcMar>
              <w:bottom w:w="28" w:type="dxa"/>
            </w:tcMar>
            <w:vAlign w:val="center"/>
          </w:tcPr>
          <w:p>
            <w:pPr>
              <w:pStyle w:val="TableContents"/>
              <w:bidi w:val="0"/>
              <w:spacing w:before="0" w:after="283"/>
              <w:jc w:val="right"/>
              <w:rPr/>
            </w:pPr>
            <w:r>
              <w:rPr/>
              <w:t>38,715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48,312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44,530</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139,238</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119,094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245,914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232,347</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b/>
              </w:rPr>
            </w:pPr>
            <w:r>
              <w:rPr>
                <w:b/>
              </w:rPr>
              <w:t>Cost of Sales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Toys/Consumer Products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64,006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53,293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130,119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122,532</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Costumes</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tcMar>
              <w:bottom w:w="28" w:type="dxa"/>
            </w:tcMar>
            <w:vAlign w:val="center"/>
          </w:tcPr>
          <w:p>
            <w:pPr>
              <w:pStyle w:val="TableContents"/>
              <w:bidi w:val="0"/>
              <w:spacing w:before="0" w:after="283"/>
              <w:jc w:val="right"/>
              <w:rPr/>
            </w:pPr>
            <w:r>
              <w:rPr/>
              <w:t>30,271</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tcMar>
              <w:bottom w:w="28" w:type="dxa"/>
            </w:tcMar>
            <w:vAlign w:val="center"/>
          </w:tcPr>
          <w:p>
            <w:pPr>
              <w:pStyle w:val="TableContents"/>
              <w:bidi w:val="0"/>
              <w:spacing w:before="0" w:after="283"/>
              <w:jc w:val="right"/>
              <w:rPr/>
            </w:pPr>
            <w:r>
              <w:rPr/>
              <w:t>26,778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35,228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31,779</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94,277</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80,071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165,347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154,311</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b/>
              </w:rPr>
            </w:pPr>
            <w:r>
              <w:rPr>
                <w:b/>
              </w:rPr>
              <w:t>Gross Profit</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Toys/Consumer Products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33,501</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27,086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67,483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65,285</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Costumes</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tcMar>
              <w:bottom w:w="28" w:type="dxa"/>
            </w:tcMar>
            <w:vAlign w:val="center"/>
          </w:tcPr>
          <w:p>
            <w:pPr>
              <w:pStyle w:val="TableContents"/>
              <w:bidi w:val="0"/>
              <w:spacing w:before="0" w:after="283"/>
              <w:jc w:val="right"/>
              <w:rPr/>
            </w:pPr>
            <w:r>
              <w:rPr/>
              <w:t>11,460</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tcMar>
              <w:bottom w:w="28" w:type="dxa"/>
            </w:tcMar>
            <w:vAlign w:val="center"/>
          </w:tcPr>
          <w:p>
            <w:pPr>
              <w:pStyle w:val="TableContents"/>
              <w:bidi w:val="0"/>
              <w:spacing w:before="0" w:after="283"/>
              <w:jc w:val="right"/>
              <w:rPr/>
            </w:pPr>
            <w:r>
              <w:rPr/>
              <w:t>11,937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13,084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12,751</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44,961</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39,023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80,567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78,036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Toys/Consumer Products. </w:t>
      </w:r>
      <w:r>
        <w:rPr>
          <w:rFonts w:ascii="Times New Roman;Times;Serif" w:hAnsi="Times New Roman;Times;Serif"/>
          <w:b w:val="false"/>
          <w:i w:val="false"/>
          <w:caps w:val="false"/>
          <w:smallCaps w:val="false"/>
          <w:sz w:val="20"/>
        </w:rPr>
        <w:t>Net sales of our Toys/Consumer Products segment were $97.5 million for the three months ended June 30, 2026 compared to $80.4 million for the prior year period, representing an increase of $17.1 million, or 21.3%. The increase was driven by higher sales in the Action Play and Collectibles division, up 40.7% versus a year ago, driven by sales of Super Mario Movie and Nintendo products. Additionally, the Dolls, Role-Play/Dress Up division increased 11.8% compared to the same period a year ago.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Costumes</w:t>
      </w:r>
      <w:r>
        <w:rPr>
          <w:rFonts w:ascii="Times New Roman;Times;Serif" w:hAnsi="Times New Roman;Times;Serif"/>
          <w:b w:val="false"/>
          <w:i w:val="false"/>
          <w:caps w:val="false"/>
          <w:smallCaps w:val="false"/>
          <w:sz w:val="20"/>
        </w:rPr>
        <w:t>. Net sales of our Costumes segment were $41.7 million for the three months ended June 30, 2026 compared to $38.7 million for the prior year period, representing an increase of $3.0 million, or 7.8%. The increase was primarily due to reduced orders a year ago from select recurring customers as a result of the US tariffs.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Toys/Consumer Products.</w:t>
      </w:r>
      <w:r>
        <w:rPr>
          <w:rFonts w:ascii="Times New Roman;Times;Serif" w:hAnsi="Times New Roman;Times;Serif"/>
          <w:b w:val="false"/>
          <w:i w:val="false"/>
          <w:caps w:val="false"/>
          <w:smallCaps w:val="false"/>
          <w:sz w:val="20"/>
        </w:rPr>
        <w:t xml:space="preserve"> Cost of sales of our Toys/Consumer Products segment was $64.0 million, or 65.6% of related net sales for the three months ended June 30, 2026 compared to $53.3 million, or 66.3% of related net sales for the prior year period, representing an increase of $10.7 million, or 20.1%. The decrease as a percentage of net sales was due to lower product costs as a percentage of net sales, while in the increase in dollars was due to higher volume.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Costumes</w:t>
      </w:r>
      <w:r>
        <w:rPr>
          <w:rFonts w:ascii="Times New Roman;Times;Serif" w:hAnsi="Times New Roman;Times;Serif"/>
          <w:b w:val="false"/>
          <w:i w:val="false"/>
          <w:caps w:val="false"/>
          <w:smallCaps w:val="false"/>
          <w:sz w:val="20"/>
        </w:rPr>
        <w:t>. Cost of sales of our Costumes segment was $30.3 million, or 72.7% of related net sales for the three months ended June 30, 2026, compared to $26.8 million, or 69.3% of related net sales for the prior year period, representing an increase of $3.5 million, or 13.1%. The increase was due to higher product costs as a percentage of net sales on Costume product versus a year ago.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$45.1 million for the three months ended June 30, 2026 compared to $41.8 million for the prior year period constituting 32.4% and 35.1% of net sales, respectively. Selling, general and administrative expenses were up $3.3 million year over year due to slightly higher selling expenses and salaries and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was $7.0 million for the three months ended June 30, 2026 compared to $25 thousand for the prior year period. The increase is mainly due to refunded import tariff expenditures. A portion of the refund related to U.S. inventory still on hand as of June 30, 2026 was applied to these inventory items to reduce their cost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(Benefit from) Income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which includes federal, state and foreign income taxes and discrete items, was $1.7 million, or an effective tax rate of 22.5%, for the three months ended June 30, 2026. During the comparable period in 2025, our income tax benefit was $0.6 million, or an effective tax rate of 20.7%. The increase in the effective tax rate is primarily attributable to an increase in tax expense from discrete items recognized during the current-year period.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Toys/Consumer Products. </w:t>
      </w:r>
      <w:r>
        <w:rPr>
          <w:rFonts w:ascii="Times New Roman;Times;Serif" w:hAnsi="Times New Roman;Times;Serif"/>
          <w:b w:val="false"/>
          <w:i w:val="false"/>
          <w:caps w:val="false"/>
          <w:smallCaps w:val="false"/>
          <w:sz w:val="20"/>
        </w:rPr>
        <w:t>Net sales of our Toys/Consumer Products segment were $197.6 million for the six months ended June 30, 2026 compared to $187.8 million for the prior year period, representing an increase of $9.8 million, or 5.2%. The increase was driven by higher sales in the Action Play and Collectibles division, up 33.7% versus a year ago, due to higher sales related to the Super Mario Movie product, offset by 12.3% lower sales in the Dolls, Role-Play/Dress Up division.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Costumes</w:t>
      </w:r>
      <w:r>
        <w:rPr>
          <w:rFonts w:ascii="Times New Roman;Times;Serif" w:hAnsi="Times New Roman;Times;Serif"/>
          <w:b w:val="false"/>
          <w:i w:val="false"/>
          <w:caps w:val="false"/>
          <w:smallCaps w:val="false"/>
          <w:sz w:val="20"/>
        </w:rPr>
        <w:t>. Net sales of our Costumes segment were $48.3 million for the six months ended June 30, 2026 compared to $44.5 million for the prior year period, representing an increase of $3.8 million, or 8.5%. The increase was primarily due to reduced orders a year ago from select recurring customers as a result of the US tariffs.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Toys/Consumer Products.</w:t>
      </w:r>
      <w:r>
        <w:rPr>
          <w:rFonts w:ascii="Times New Roman;Times;Serif" w:hAnsi="Times New Roman;Times;Serif"/>
          <w:b w:val="false"/>
          <w:i w:val="false"/>
          <w:caps w:val="false"/>
          <w:smallCaps w:val="false"/>
          <w:sz w:val="20"/>
        </w:rPr>
        <w:t xml:space="preserve"> Cost of sales of our Toys/Consumer Products segment was $130.1 million, or 65.8% of related net sales for the six months ended June 30, 2026 compared to $122.5 million, or 65.2% of related net sales for the prior year period, representing an increase of $7.6 million, or 6.2%. Cost of sales as a percentage of related net sales was relatively flat year-over-year with the increase in dollars due to greater overall sales.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Costumes</w:t>
      </w:r>
      <w:r>
        <w:rPr>
          <w:rFonts w:ascii="Times New Roman;Times;Serif" w:hAnsi="Times New Roman;Times;Serif"/>
          <w:b w:val="false"/>
          <w:i w:val="false"/>
          <w:caps w:val="false"/>
          <w:smallCaps w:val="false"/>
          <w:sz w:val="20"/>
        </w:rPr>
        <w:t>. Cost of sales of our Costumes segment was $35.2 million, or 72.9% of related net sales for the six months ended June 30, 2026, compared to $31.8 million, or 71.5% of related net sales for the prior year period, representing an increase of $3.4 million, or 10.7%. The increase as a percentage of net sales was due to higher net inventory reserves on Costume product versus a year ago.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$86.3 million for the six months ended June 30, 2026 compared to $84.6 million for the prior year period constituting 35.1% and 36.4% of net sales, respectively. Selling, general and administrative expenses were up $1.7 million year over year, with slightly higher selling expenses and salaries and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was $7.0 million for the six months ended June 30, 2026 compared to $30 thousand for the prior year period. The increase is due to refunded import tariff expenditures. A portion of the refund related to U.S. inventory still on hand as of June 30, 2026 was applied to these inventory items to reduce their cost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(Benefit from) Income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which includes federal, state and foreign income taxes and discrete items, was $0.9 million, or an effective tax rate of 35.1%, for the six months ended June 30, 2026. During the comparable period in 2025, our income tax benefit was $1.8 million, or an effective tax rate of 27.3%. The increase in the effective tax rate is primarily attributable to an increase in tax expense from discrete items recognized during the current-year period.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 and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retail toy industry is inherently seasonal. Generally, our sales have been highest during the second and third quarters, and collections for those sales have been highest during the succeeding fourth and first quarters. Our working capital needs have been highest during the second and third quarters as we make royalty advance payments for some of our licenses and buy and sell inventory subject to customer payment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taken steps to level sales over the entire year, sales are expected to remain heavily influenced by the seasonality of our toy and costume products. The result of these seasonal patterns is that operating results and the demand for working capital may vary significantly by quarter. Orders placed with us are generally cancellable until the date of shipment. The combination of seasonal demand and the potential for order cancellation makes accurate forecasting of future sales difficult and causes us to believe that backlog may not be an accurate indicator of our future sales. Similarly, financial results for a particular quarter may not be indicative of results for the entire year.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working capital (inclusive of cash, cash equivalents and restricted cash) of $116.0 million, compared to $121.0 million as of December 31, 2025, representing a decrease in working capital of $5.0 million during the six-month period ended June 30, 2026. The decrease in working capital is mainly attributable to cash used for investing and financing activities, offset with $11.1 million refunded by the federal government related to import tariffs levied under the International Emergency Economic Powers Act (IEEPA) and related interest.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 provided net cash of $26.1 million during the six months ended June 30, 2026, as compared to net cash used of $15.9 million in the prior year period. The increase in net cash provided by operating activities year-over-year is primarily due to refunds received related to IEEPA tariffs and income taxes, and lower overall inventory costs year-over-year. Other than open purchase orders issued in the normal course of business related to shipped product, we have no obligations to purchase inventory from our manufacturers. However, we may incur costs or other losses as a result of not placing orders consistent with our forecasts for product manufactured by our suppliers or manufacturers for a variety of reasons including customer order cancellations or a decline in demand. As part of our strategy to develop and market new products, we have entered into various character and product licenses with royalties/obligations generally ranging from 1% to 22% payable on net sales of such products. As of June 30, 2026, these agreements required future aggregate minimum royalty guarantees of $185.0 million exclusive of $3.8 million in advances already paid. Of this $185.0 million future minimum royalty guarantee, $60.7 million is due over the next twelve months.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 used net cash of $10.5 million and $6.0 million for the six months ended June 30, 2026 and 2025, respectively, and consisted primarily of cash paid for the purchase of molds and tooling used in the manufacture of our products and purchases of investments to fund our obligation to our employees stemming from our non-qualified deferred compensation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 used net cash of $7.1 million and $9.4 million for the six months ended June 30, 2026 and 2025, respectively. The cash used in financing activities during the six months ended June 30, 2026, consists of $1.3 million used for the repurchase of our common stock for employee tax withholding and $5.7 million used to pay dividends. The cash used in financing activities during the six months ended June 30, 2025, consists of $3.8 million used for the repurchase of our common stock for employee tax withholding and $5.6 million used to pay dividends.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terminated our existing $67.5 million JPMorgan ABL revolving credit facility in connection with entering into a new senior secured facility with BMO Bank N.A. The prior facility had no outstanding borrowings at the time of termination. We recorded a non-cash charge of $0.3 million for the write-off of previously deferred financing costs associated with the JPMorgan facility.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2025, we entered into a new $70.0 million senior secured revolving credit facility with a maturity date of June 24, 2030. This facility replaces our prior facility and is expected to provide improved pricing and enhanced liquidity flexibility. Interest is payable at either SOFR plus a leverage-based margin or a Base Rate alternative and includes a commitment fee on unused amounts. The facility includes financial covenants requiring a minimum interest coverage ratio of 3.00 to 1.00 and a maximum total net leverage ratio of 2.00 to 1.00. As of June 30, 2026, we were in compliance with all financial covenants.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under the revolving facility as of June 30, 2026, was $68.7 million. The facility provides the Company with flexibility to fund working capital, capital expenditures, acquisitions, and general corporate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5 – Credit Facilities for additional information pertaining to our Credit Facilities.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we held cash and cash equivalents, including restricted cash, of $60.6 million and $54.1 million, respectively. Cash, and cash equivalents, including restricted cash held outside of the United States in various foreign subsidiaries totaled $9.4 million and $16.9 million as of June 30, 2026 and December 31, 2025, respectively. The cash and cash equivalents, including restricted cash balances in our foreign subsidiaries have either been fully taxed in the U.S. or tax has been accounted for in connection with the Tax Cuts and Jobs Act, or may be eligible for a full foreign dividends received deduction under such Act, and thus would not be subject to additional U.S. tax should such amounts be repatriated in the form of dividends or deemed distributions. As such, foreign withholding taxes on future repatriations are not expected to be significant.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working capital are cash flows from operations and borrowings under our Revolving Facility (see Note 5 – Credit Facilities).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cash flows from operations are impacted by the effect on sales of (1) the appeal of our products, (2) the success of our licensed brands in motivating consumer purchase of related merchandise, (3) the highly competitive conditions existing in the toy industry and in securing commercially attractive licenses, (4) dependency on a limited set of large customers, and (5) general economic conditions. A downturn in any single factor or a combination of factors could have a material adverse impact upon our ability to generate sufficient cash flows to operate the business. In addition, our business and liquidity are dependent to a significant degree on our vendors and their financial health, as well as the ability to accurately forecast the demand for products. The loss of a key vendor, or material changes in support by them, or a significant variance in actual demand compared to the forecast, can have a material adverse impact on our cash flows and business. Given the conditions in the toy industry environment in general, vendors, including licensors, may seek further assurances or take actions to protect against non-payment of amounts due to them. Changes in this area could have a material adverse impact on our liquidity.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off-balance sheet arrangements include letters of credit issued by JPMorgan of $0.9 million, temporarily secured with cash as collateral, and letters of credit issued by BMO of $1.3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market risk includes interest rate fluctuations in connection with our Revolving Facility (see Note 5 – Credit Facilities). As detailed in the BMO Credit Agreement, borrowings under the Revolving Facility bear interest, at the Company’s election, at either (i) the Adjusted Term SOFR plus an applicable margin or (ii) the Base Rate plus an applicable margin. The applicable margin varies based on the Company’s Total Net Leverage Ratio and ranges from 1.50% to 2.00% for SOFR loans and from 0.50% to 1.00% for Base Rate loans. Borrowings under the Revolving Facility are therefore subject to risk based upon prevailing market interest rates. Interest rate risk may result from many factors, including governmental monetary and tax policies, domestic and international economic and political considerations and other factors that are beyond our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wholly-owned subsidiaries in Hong Kong, China, the United Kingdom, Germany, France, the Netherlands, Italy, Canada, Mexico and Chile. Sales are generally made by these operations on FOB China or Hong Kong terms and are denominated in U.S. dollars. However, purchases of inventory and Hong Kong operating expenses are typically denominated in Hong Kong dollars and local operating expenses in the United Kingdom, Germany, France, the Netherlands, Italy, Canada, Mexico, Chile and China are denominated in local currency, thereby creating exposure to changes in exchange rates. Changes in the U.S. dollar exchange rates may positively or negatively affect our results of operations. We do not believe that near-term changes in these exchange rates, if any, will result in a material effect on our future earnings, fair values or cash flows. Therefore, we have chosen not to enter into foreign currency hedging transactions. We cannot assure you that this approach will be successful, especially in the event of a significant and sudden change in the value of these foreign currencies.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and Chief Financial Officer, after evaluating the effectiveness of our disclosure controls and procedures as of the end of the period covered by this Report, have concluded that as of that date, our disclosure controls and procedures were effective. There has been no change in our internal control over financial reporting identified in connection with the evaluation required by Exchange Act Rule 13a-15(d) that occurred during the period covered by this Report that has materially affected, or is reasonably likely to materially affect, our internal control over financial reporting.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PART II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party to, and certain of our property is the subject of, various pending claims and legal proceedings that routinely arise in the ordinary course of our business. We accrue for losses when the loss is deemed probable and the liability can reasonably be estimated. Where a liability is probable and there is a range of estimated loss with no best estimate in the range, we record the minimum estimated liability related to the claim. As additional information becomes available, we assess the potential liability related to the pending litigation and revise our estimates.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may provide certain indemnifications and/or other commitments of varying scope to a) our licensors, customers and certain other parties, including against third-party claims of intellectual property infringement, and b) our officers, directors and employees, including against third-party claims regarding the periods in which they serve in such capacities with us. The duration and amount of such obligations is, in certain cases, indefinite. Our director’s and officer’s liability insurance policy may, however, enable us to recover a portion of any future payments related to our officer, director or employee indemnifications. For the past five years, costs related to director and officer indemnifications have not been significant. Other than certain liabilities recorded in the normal course of business related to royalty payments due to our licensors, no liabilities have been recorded for indemnifications and/or other commitments.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 with respect to us and our business are contained in “Part I, Item 1A. Risk Factors” in our Annual Report on Form 10-K for the year ended December 31, 2025. There have been no material changes from the risk factors previously disclosed in such filing. The disclosures made in this Quarterly Report should be reviewed together with the risk factors contained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8305" w:type="dxa"/>
        <w:jc w:val="left"/>
        <w:tblInd w:w="0" w:type="dxa"/>
        <w:tblLayout w:type="fixed"/>
        <w:tblCellMar>
          <w:top w:w="0" w:type="dxa"/>
          <w:left w:w="0" w:type="dxa"/>
          <w:bottom w:w="28" w:type="dxa"/>
          <w:right w:w="0" w:type="dxa"/>
        </w:tblCellMar>
      </w:tblPr>
      <w:tblGrid>
        <w:gridCol w:w="815"/>
        <w:gridCol w:w="90"/>
        <w:gridCol w:w="7400"/>
      </w:tblGrid>
      <w:tr>
        <w:trPr/>
        <w:tc>
          <w:tcPr>
            <w:tcW w:w="8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pPr>
            <w:hyperlink w:anchor="jakkex31-1.htm">
              <w:r>
                <w:rPr>
                  <w:rStyle w:val="InternetLink"/>
                  <w:rFonts w:ascii="Times New Roman;Times;Serif" w:hAnsi="Times New Roman;Times;Serif"/>
                  <w:b w:val="false"/>
                  <w:i w:val="false"/>
                  <w:caps w:val="false"/>
                  <w:smallCaps w:val="false"/>
                  <w:sz w:val="20"/>
                </w:rPr>
                <w:t>Rule 13a-14(a)/15d-14(a) Certification of Chief Executive Officer (1)</w:t>
              </w:r>
            </w:hyperlink>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pPr>
            <w:hyperlink w:anchor="jakkex31-2.htm">
              <w:r>
                <w:rPr>
                  <w:rStyle w:val="InternetLink"/>
                  <w:rFonts w:ascii="Times New Roman;Times;Serif" w:hAnsi="Times New Roman;Times;Serif"/>
                  <w:b w:val="false"/>
                  <w:i w:val="false"/>
                  <w:caps w:val="false"/>
                  <w:smallCaps w:val="false"/>
                  <w:sz w:val="20"/>
                </w:rPr>
                <w:t>Rule 13a-14(a)/15d-14(a) Certification of Chief Financial Officer (1)</w:t>
              </w:r>
            </w:hyperlink>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pPr>
            <w:hyperlink w:anchor="jakkex32-1.htm">
              <w:r>
                <w:rPr>
                  <w:rStyle w:val="InternetLink"/>
                  <w:rFonts w:ascii="Times New Roman;Times;Serif" w:hAnsi="Times New Roman;Times;Serif"/>
                  <w:b w:val="false"/>
                  <w:i w:val="false"/>
                  <w:caps w:val="false"/>
                  <w:smallCaps w:val="false"/>
                  <w:sz w:val="20"/>
                </w:rPr>
                <w:t>Section 1350 Certification of Chief Executive Officer (1)</w:t>
              </w:r>
            </w:hyperlink>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pPr>
            <w:hyperlink w:anchor="jakkex32-2.htm">
              <w:r>
                <w:rPr>
                  <w:rStyle w:val="InternetLink"/>
                  <w:rFonts w:ascii="Times New Roman;Times;Serif" w:hAnsi="Times New Roman;Times;Serif"/>
                  <w:b w:val="false"/>
                  <w:i w:val="false"/>
                  <w:caps w:val="false"/>
                  <w:smallCaps w:val="false"/>
                  <w:sz w:val="20"/>
                </w:rPr>
                <w:t>Section 1350 Certification of Chief Financial Officer (1)</w:t>
              </w:r>
            </w:hyperlink>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68"/>
        <w:gridCol w:w="275"/>
        <w:gridCol w:w="131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1655"/>
        <w:gridCol w:w="350"/>
        <w:gridCol w:w="252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8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Kimble</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Kimble</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Executive Vice President and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(Duly Authorized Officer and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jc w:val="right"/>
        <w:rPr>
          <w:rFonts w:ascii="Times New Roman;Times;Serif" w:hAnsi="Times New Roman;Times;Serif"/>
          <w:b/>
          <w:sz w:val="20"/>
        </w:rPr>
      </w:pPr>
      <w:bookmarkStart w:id="16" w:name="jakkex31-1.htm"/>
      <w:bookmarkStart w:id="17" w:name="ksjakkex311"/>
      <w:bookmarkEnd w:id="16"/>
      <w:bookmarkEnd w:id="17"/>
      <w:r>
        <w:rPr>
          <w:rFonts w:ascii="Times New Roman;Times;Serif" w:hAnsi="Times New Roman;Times;Serif"/>
          <w:b/>
          <w:sz w:val="20"/>
        </w:rPr>
        <w:t>Exhibit 31.1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Stephen G. Berman, Chief Executive Officer,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JAKKS Pacific, Inc.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quarterly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firstLine="144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320"/>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Stephen G. Berman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G. Berman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p>
      <w:pPr>
        <w:pStyle w:val="TextBody"/>
        <w:bidi w:val="0"/>
        <w:jc w:val="right"/>
        <w:rPr>
          <w:rFonts w:ascii="Times New Roman;Times;Serif" w:hAnsi="Times New Roman;Times;Serif"/>
          <w:b/>
          <w:sz w:val="20"/>
        </w:rPr>
      </w:pPr>
      <w:bookmarkStart w:id="18" w:name="jakkex31-2.htm"/>
      <w:bookmarkStart w:id="19" w:name="ksjakkex312"/>
      <w:bookmarkEnd w:id="18"/>
      <w:bookmarkEnd w:id="19"/>
      <w:r>
        <w:rPr>
          <w:rFonts w:ascii="Times New Roman;Times;Serif" w:hAnsi="Times New Roman;Times;Serif"/>
          <w:b/>
          <w:sz w:val="20"/>
        </w:rPr>
        <w:t>Exhibit 31.2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John Kimble, Chief Financial Officer,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JAKKS Pacific, Inc.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quarterly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firstLine="144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32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Kimble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Kimble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p>
      <w:pPr>
        <w:pStyle w:val="TextBody"/>
        <w:bidi w:val="0"/>
        <w:jc w:val="right"/>
        <w:rPr>
          <w:rFonts w:ascii="Times New Roman;Times;Serif" w:hAnsi="Times New Roman;Times;Serif"/>
          <w:b/>
          <w:sz w:val="20"/>
        </w:rPr>
      </w:pPr>
      <w:bookmarkStart w:id="20" w:name="jakkex32-1.htm"/>
      <w:bookmarkStart w:id="21" w:name="ksjakkex321"/>
      <w:bookmarkEnd w:id="20"/>
      <w:bookmarkEnd w:id="21"/>
      <w:r>
        <w:rPr>
          <w:rFonts w:ascii="Times New Roman;Times;Serif" w:hAnsi="Times New Roman;Times;Serif"/>
          <w:b/>
          <w:sz w:val="20"/>
        </w:rPr>
        <w:t>Exhibit 32.1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Statement of the Chief Executive Officer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18 U.S.C. Section 1350, the undersigned officer of JAKKS Pacific, Inc. (“Registrant”) hereby certifies that the Registrant’s Quarterly Report on Form 10-Q for the quarter ended June 30, 2026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pStyle w:val="TextBody"/>
        <w:bidi w:val="0"/>
        <w:spacing w:before="0" w:after="0"/>
        <w:ind w:left="0" w:right="0" w:hanging="0"/>
        <w:jc w:val="left"/>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75"/>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Stephen G. Berman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G. Berman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p>
      <w:pPr>
        <w:pStyle w:val="TextBody"/>
        <w:bidi w:val="0"/>
        <w:jc w:val="right"/>
        <w:rPr>
          <w:rFonts w:ascii="Times New Roman;Times;Serif" w:hAnsi="Times New Roman;Times;Serif"/>
          <w:b/>
          <w:sz w:val="20"/>
        </w:rPr>
      </w:pPr>
      <w:bookmarkStart w:id="22" w:name="jakkex32-2.htm"/>
      <w:bookmarkStart w:id="23" w:name="ksjakkex322"/>
      <w:bookmarkEnd w:id="22"/>
      <w:bookmarkEnd w:id="23"/>
      <w:r>
        <w:rPr>
          <w:rFonts w:ascii="Times New Roman;Times;Serif" w:hAnsi="Times New Roman;Times;Serif"/>
          <w:b/>
          <w:sz w:val="20"/>
        </w:rPr>
        <w:t>Exhibit 32.2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Statement of the Chief Financial Officer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18 U.S.C. Section 1350, the undersigned officer of JAKKS Pacific, Inc. (“Registrant”) hereby certifies that the Registrant’s Quarterly Report on Form 10-Q for the quarter ended June 30, 2026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Kimble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Kimble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12522</Words>
  <Characters>68330</Characters>
  <CharactersWithSpaces>82473</CharactersWithSpaces>
  <Paragraphs>5415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