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jakk8k043026.htm"/>
      <w:bookmarkStart w:id="1" w:name="ksjakk8k043026"/>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F_edei--DocumentType_c20260429__20"/>
      <w:bookmarkEnd w:id="2"/>
      <w:r>
        <w:rPr>
          <w:rFonts w:ascii="Times New Roman;Times;Serif" w:hAnsi="Times New Roman;Times;Serif"/>
          <w:b/>
          <w:i w:val="false"/>
          <w:caps w:val="false"/>
          <w:smallCaps w:val="false"/>
          <w:sz w:val="32"/>
        </w:rPr>
        <w:t>8-K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April 29, 2026</w:t>
      </w:r>
    </w:p>
    <w:p>
      <w:pPr>
        <w:pStyle w:val="TextBody"/>
        <w:bidi w:val="0"/>
        <w:spacing w:before="0" w:after="0"/>
        <w:ind w:left="0" w:right="0" w:hanging="0"/>
        <w:jc w:val="center"/>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4175"/>
      </w:tblGrid>
      <w:tr>
        <w:trPr/>
        <w:tc>
          <w:tcPr>
            <w:tcW w:w="41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E_edei--EntityRegistrantName_c2026"/>
            <w:bookmarkEnd w:id="4"/>
            <w:r>
              <w:rPr>
                <w:rFonts w:ascii="Times New Roman;Times;Serif" w:hAnsi="Times New Roman;Times;Serif"/>
                <w:b/>
                <w:i w:val="false"/>
                <w:caps w:val="false"/>
                <w:smallCaps w:val="false"/>
                <w:sz w:val="36"/>
                <w:u w:val="single"/>
              </w:rPr>
              <w:t>JAKKS PACIFIC, INC.</w:t>
            </w:r>
          </w:p>
        </w:tc>
      </w:tr>
      <w:tr>
        <w:trPr/>
        <w:tc>
          <w:tcPr>
            <w:tcW w:w="4175" w:type="dxa"/>
            <w:tcBorders/>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1_edei--EntityFileNumber_c20260429"/>
            <w:bookmarkEnd w:id="6"/>
            <w:r>
              <w:rPr>
                <w:b/>
                <w:sz w:val="20"/>
              </w:rPr>
              <w:t>001-35448</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sz w:val="20"/>
              </w:rPr>
            </w:pPr>
            <w:bookmarkStart w:id="7" w:name="xdx_906_edei--EntityTaxIdentificationNum"/>
            <w:bookmarkEnd w:id="7"/>
            <w:r>
              <w:rPr>
                <w:b/>
                <w:sz w:val="20"/>
              </w:rPr>
              <w:t>95-4527222</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r>
          </w:p>
        </w:tc>
      </w:tr>
      <w:tr>
        <w:trPr/>
        <w:tc>
          <w:tcPr>
            <w:tcW w:w="2165" w:type="dxa"/>
            <w:tcBorders/>
            <w:tcMar>
              <w:bottom w:w="0" w:type="dxa"/>
            </w:tcMar>
            <w:vAlign w:val="center"/>
          </w:tcPr>
          <w:p>
            <w:pPr>
              <w:pStyle w:val="TableContents"/>
              <w:bidi w:val="0"/>
              <w:spacing w:before="0" w:after="283"/>
              <w:jc w:val="center"/>
              <w:rPr>
                <w:sz w:val="20"/>
              </w:rPr>
            </w:pPr>
            <w:r>
              <w:rPr>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28" w:type="dxa"/>
          <w:right w:w="0" w:type="dxa"/>
        </w:tblCellMar>
      </w:tblPr>
      <w:tblGrid>
        <w:gridCol w:w="3695"/>
        <w:gridCol w:w="60"/>
        <w:gridCol w:w="920"/>
      </w:tblGrid>
      <w:tr>
        <w:trPr/>
        <w:tc>
          <w:tcPr>
            <w:tcW w:w="3695" w:type="dxa"/>
            <w:tcBorders>
              <w:bottom w:val="single" w:sz="8" w:space="0" w:color="000000"/>
            </w:tcBorders>
            <w:vAlign w:val="center"/>
          </w:tcPr>
          <w:p>
            <w:pPr>
              <w:pStyle w:val="TableContents"/>
              <w:bidi w:val="0"/>
              <w:spacing w:before="0" w:after="283"/>
              <w:jc w:val="center"/>
              <w:rPr>
                <w:sz w:val="20"/>
              </w:rPr>
            </w:pPr>
            <w:bookmarkStart w:id="8" w:name="xdx_905_edei--EntityAddressAddressLine1_"/>
            <w:bookmarkEnd w:id="8"/>
            <w:r>
              <w:rPr>
                <w:b/>
                <w:sz w:val="20"/>
              </w:rPr>
              <w:t xml:space="preserve">2951 28th Street, </w:t>
            </w:r>
            <w:bookmarkStart w:id="9" w:name="xdx_902_edei--EntityAddressCityOrTown_c2"/>
            <w:bookmarkEnd w:id="9"/>
            <w:r>
              <w:rPr>
                <w:b/>
                <w:sz w:val="20"/>
              </w:rPr>
              <w:t xml:space="preserve">Santa Monica, </w:t>
            </w:r>
            <w:bookmarkStart w:id="10" w:name="xdx_901_edei--EntityAddressStateOrProvin"/>
            <w:bookmarkEnd w:id="10"/>
            <w:r>
              <w:rPr>
                <w:b/>
                <w:sz w:val="20"/>
              </w:rPr>
              <w:t xml:space="preserve">California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1" w:name="xdx_906_edei--EntityAddressPostalZipCode"/>
            <w:bookmarkEnd w:id="11"/>
            <w:r>
              <w:rPr>
                <w:b/>
                <w:sz w:val="20"/>
              </w:rPr>
              <w:t>90405</w:t>
            </w:r>
          </w:p>
        </w:tc>
      </w:tr>
      <w:tr>
        <w:trPr/>
        <w:tc>
          <w:tcPr>
            <w:tcW w:w="369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0_edei--CityAreaCode_c20260429__20"/>
      <w:bookmarkEnd w:id="12"/>
      <w:r>
        <w:rPr>
          <w:rFonts w:ascii="Times New Roman;Times;Serif" w:hAnsi="Times New Roman;Times;Serif"/>
          <w:b/>
          <w:i w:val="false"/>
          <w:caps w:val="false"/>
          <w:smallCaps w:val="false"/>
          <w:sz w:val="20"/>
        </w:rPr>
        <w:t xml:space="preserve">(424) </w:t>
      </w:r>
      <w:bookmarkStart w:id="13" w:name="xdx_906_edei--LocalPhoneNumber_c20260429"/>
      <w:bookmarkEnd w:id="13"/>
      <w:r>
        <w:rPr>
          <w:rFonts w:ascii="Times New Roman;Times;Serif" w:hAnsi="Times New Roman;Times;Serif"/>
          <w:b/>
          <w:i w:val="false"/>
          <w:caps w:val="false"/>
          <w:smallCaps w:val="false"/>
          <w:sz w:val="20"/>
        </w:rPr>
        <w:t>268-9444</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980" w:type="dxa"/>
        <w:jc w:val="left"/>
        <w:tblInd w:w="0" w:type="dxa"/>
        <w:tblLayout w:type="fixed"/>
        <w:tblCellMar>
          <w:top w:w="0" w:type="dxa"/>
          <w:left w:w="0" w:type="dxa"/>
          <w:bottom w:w="28" w:type="dxa"/>
          <w:right w:w="0" w:type="dxa"/>
        </w:tblCellMar>
      </w:tblPr>
      <w:tblGrid>
        <w:gridCol w:w="2735"/>
        <w:gridCol w:w="60"/>
        <w:gridCol w:w="1415"/>
        <w:gridCol w:w="60"/>
        <w:gridCol w:w="3710"/>
      </w:tblGrid>
      <w:tr>
        <w:trPr/>
        <w:tc>
          <w:tcPr>
            <w:tcW w:w="27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35" w:type="dxa"/>
            <w:tcBorders/>
            <w:tcMar>
              <w:bottom w:w="0" w:type="dxa"/>
            </w:tcMar>
            <w:vAlign w:val="center"/>
          </w:tcPr>
          <w:p>
            <w:pPr>
              <w:pStyle w:val="TableContents"/>
              <w:bidi w:val="0"/>
              <w:spacing w:before="0" w:after="283"/>
              <w:jc w:val="center"/>
              <w:rPr>
                <w:b/>
                <w:sz w:val="20"/>
              </w:rPr>
            </w:pPr>
            <w:bookmarkStart w:id="14" w:name="xdx_902_edei--Security12bTitle_c20260429"/>
            <w:bookmarkEnd w:id="14"/>
            <w:r>
              <w:rPr>
                <w:b/>
                <w:sz w:val="20"/>
              </w:rPr>
              <w:t>Common Stock, $.001 par value</w:t>
            </w:r>
          </w:p>
        </w:tc>
        <w:tc>
          <w:tcPr>
            <w:tcW w:w="60" w:type="dxa"/>
            <w:tcBorders/>
            <w:tcMar>
              <w:bottom w:w="0" w:type="dxa"/>
            </w:tcMar>
            <w:vAlign w:val="center"/>
          </w:tcPr>
          <w:p>
            <w:pPr>
              <w:pStyle w:val="TableContents"/>
              <w:bidi w:val="0"/>
              <w:spacing w:before="0" w:after="283"/>
              <w:jc w:val="center"/>
              <w:rPr/>
            </w:pPr>
            <w:r>
              <w:rPr/>
              <w:t> </w:t>
            </w:r>
          </w:p>
        </w:tc>
        <w:tc>
          <w:tcPr>
            <w:tcW w:w="1415" w:type="dxa"/>
            <w:tcBorders/>
            <w:tcMar>
              <w:bottom w:w="0" w:type="dxa"/>
            </w:tcMar>
            <w:vAlign w:val="center"/>
          </w:tcPr>
          <w:p>
            <w:pPr>
              <w:pStyle w:val="TableContents"/>
              <w:bidi w:val="0"/>
              <w:spacing w:before="0" w:after="283"/>
              <w:jc w:val="center"/>
              <w:rPr>
                <w:b/>
                <w:sz w:val="20"/>
              </w:rPr>
            </w:pPr>
            <w:bookmarkStart w:id="15" w:name="xdx_904_edei--TradingSymbol_c20260429__2"/>
            <w:bookmarkEnd w:id="15"/>
            <w:r>
              <w:rPr>
                <w:b/>
                <w:sz w:val="20"/>
              </w:rPr>
              <w:t>JAKK</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b/>
                <w:sz w:val="20"/>
              </w:rPr>
            </w:pPr>
            <w:bookmarkStart w:id="16" w:name="xdx_906_edei--SecurityExchangeName_c2026"/>
            <w:bookmarkEnd w:id="16"/>
            <w:r>
              <w:rPr>
                <w:b/>
                <w:sz w:val="20"/>
              </w:rPr>
              <w:t>NASDAQ Global Select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0_edei--WrittenCommunications_c202"/>
            <w:bookmarkEnd w:id="17"/>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8" w:name="xdx_902_edei--SolicitingMaterial_c202604"/>
            <w:bookmarkEnd w:id="18"/>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9" w:name="xdx_907_edei--PreCommencementTenderOffer"/>
            <w:bookmarkEnd w:id="19"/>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20" w:name="xdx_903_edei--PreCommencementIssuerTende"/>
            <w:bookmarkEnd w:id="20"/>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2.02. Results of Operations and Financial Condition.</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we issued a press release announcing our first quarter results for 2026. Following the issuance of the press release, on April 30, 2026 at 5:00 p.m. ET / 2:00 p.m. PT, we will host a teleconference and webcast for analysts, investors, media and others to discuss the results and other business topics. Such financial information included in the Exhibit attached hereto, shall not be deemed "filed" for purposes of Section 18 of the Securities Exchange Act of 1934, nor shall it be deemed incorporated by reference in any filing under the Securities Act of 1933, except as shall be expressly set forth by specific reference in such filing. </w:t>
      </w:r>
    </w:p>
    <w:p>
      <w:pPr>
        <w:pStyle w:val="TextBody"/>
        <w:bidi w:val="0"/>
        <w:ind w:left="1496" w:right="0" w:hanging="1316"/>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Item 8.01. Other Events. </w:t>
      </w:r>
    </w:p>
    <w:p>
      <w:pPr>
        <w:pStyle w:val="TextBody"/>
        <w:bidi w:val="0"/>
        <w:ind w:left="1496" w:right="0" w:hanging="1316"/>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our Board of Directors declared a quarterly cash dividend of $0.25 per common share. The dividend will be payable on June 29, 2026 to shareholders of record at the close of business on May 29, 2026. A copy of such release is annexed hereto as Exhibit 10.1.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9.01. Financial Statements and Exhibits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jc w:val="left"/>
        <w:rPr>
          <w:caps w:val="false"/>
          <w:smallCaps w:val="false"/>
        </w:rPr>
      </w:pPr>
      <w:r>
        <w:rPr>
          <w:caps w:val="false"/>
          <w:smallCaps w:val="false"/>
        </w:rPr>
        <w:t> </w:t>
      </w:r>
    </w:p>
    <w:tbl>
      <w:tblPr>
        <w:tblW w:w="5680" w:type="dxa"/>
        <w:jc w:val="left"/>
        <w:tblInd w:w="0" w:type="dxa"/>
        <w:tblLayout w:type="fixed"/>
        <w:tblCellMar>
          <w:top w:w="0" w:type="dxa"/>
          <w:left w:w="0" w:type="dxa"/>
          <w:bottom w:w="28" w:type="dxa"/>
          <w:right w:w="0" w:type="dxa"/>
        </w:tblCellMar>
      </w:tblPr>
      <w:tblGrid>
        <w:gridCol w:w="710"/>
        <w:gridCol w:w="60"/>
        <w:gridCol w:w="4910"/>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w:t>
            </w:r>
          </w:p>
        </w:tc>
        <w:tc>
          <w:tcPr>
            <w:tcW w:w="60" w:type="dxa"/>
            <w:tcBorders/>
            <w:tcMar>
              <w:bottom w:w="0" w:type="dxa"/>
            </w:tcMar>
            <w:vAlign w:val="center"/>
          </w:tcPr>
          <w:p>
            <w:pPr>
              <w:pStyle w:val="TableContents"/>
              <w:bidi w:val="0"/>
              <w:spacing w:before="0" w:after="283"/>
              <w:jc w:val="left"/>
              <w:rPr/>
            </w:pPr>
            <w:r>
              <w:rPr/>
              <w:t> </w:t>
            </w:r>
          </w:p>
        </w:tc>
        <w:tc>
          <w:tcPr>
            <w:tcW w:w="491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left"/>
              <w:rPr/>
            </w:pPr>
            <w:hyperlink w:anchor="jakkex10-1.htm">
              <w:r>
                <w:rPr>
                  <w:rStyle w:val="InternetLink"/>
                  <w:rFonts w:ascii="Times New Roman;Times;Serif" w:hAnsi="Times New Roman;Times;Serif"/>
                  <w:sz w:val="20"/>
                </w:rPr>
                <w:t>April 30, 2026 Press Release</w:t>
              </w:r>
            </w:hyperlink>
          </w:p>
        </w:tc>
      </w:tr>
      <w:tr>
        <w:trPr/>
        <w:tc>
          <w:tcPr>
            <w:tcW w:w="7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5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780" w:type="dxa"/>
        <w:jc w:val="left"/>
        <w:tblInd w:w="0" w:type="dxa"/>
        <w:tblLayout w:type="fixed"/>
        <w:tblCellMar>
          <w:top w:w="0" w:type="dxa"/>
          <w:left w:w="0" w:type="dxa"/>
          <w:bottom w:w="0" w:type="dxa"/>
          <w:right w:w="0" w:type="dxa"/>
        </w:tblCellMar>
      </w:tblPr>
      <w:tblGrid>
        <w:gridCol w:w="1655"/>
        <w:gridCol w:w="365"/>
        <w:gridCol w:w="1760"/>
      </w:tblGrid>
      <w:tr>
        <w:trPr/>
        <w:tc>
          <w:tcPr>
            <w:tcW w:w="1655" w:type="dxa"/>
            <w:tcBorders/>
            <w:vAlign w:val="center"/>
          </w:tcPr>
          <w:p>
            <w:pPr>
              <w:pStyle w:val="TableContents"/>
              <w:bidi w:val="0"/>
              <w:spacing w:before="0" w:after="283"/>
              <w:jc w:val="left"/>
              <w:rPr/>
            </w:pPr>
            <w:r>
              <w:rPr/>
              <w:t> </w:t>
            </w:r>
          </w:p>
        </w:tc>
        <w:tc>
          <w:tcPr>
            <w:tcW w:w="21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JAKKS PACIFIC, INC.</w:t>
            </w:r>
          </w:p>
        </w:tc>
      </w:tr>
      <w:tr>
        <w:trPr/>
        <w:tc>
          <w:tcPr>
            <w:tcW w:w="1655" w:type="dxa"/>
            <w:tcBorders/>
            <w:vAlign w:val="center"/>
          </w:tcPr>
          <w:p>
            <w:pPr>
              <w:pStyle w:val="TableContents"/>
              <w:bidi w:val="0"/>
              <w:spacing w:before="0" w:after="283"/>
              <w:jc w:val="left"/>
              <w:rPr/>
            </w:pPr>
            <w:r>
              <w:rPr/>
              <w:t> </w:t>
            </w:r>
          </w:p>
        </w:tc>
        <w:tc>
          <w:tcPr>
            <w:tcW w:w="2125"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May 1,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7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L. KIMBLE</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L. Kimble, CFO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jakkex10-1.htm"/>
      <w:bookmarkStart w:id="23" w:name="ksjakkex101"/>
      <w:bookmarkEnd w:id="22"/>
      <w:bookmarkEnd w:id="23"/>
      <w:r>
        <w:rPr>
          <w:rFonts w:ascii="Times New Roman;Times;Serif" w:hAnsi="Times New Roman;Times;Serif"/>
          <w:b/>
          <w:i w:val="false"/>
          <w:caps w:val="false"/>
          <w:smallCaps w:val="false"/>
          <w:sz w:val="20"/>
        </w:rPr>
        <w:t>Exhibit 10.1 </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669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9334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REPORTS FIRST QUARTER 2026 FINANCIAL RESULTS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approves 25 cent quarterly dividend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Santa Monica, California, </w:t>
      </w:r>
      <w:r>
        <w:rPr>
          <w:rFonts w:ascii="Times New Roman;Times;Serif" w:hAnsi="Times New Roman;Times;Serif"/>
          <w:b w:val="false"/>
          <w:i w:val="false"/>
          <w:caps w:val="false"/>
          <w:smallCaps w:val="false"/>
          <w:sz w:val="20"/>
        </w:rPr>
        <w:t>April 30, 2026 – JAKKS Pacific, Inc. (Nasdaq: JAKK) today reported financial results for the first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First Quarter 2026 </w:t>
      </w:r>
    </w:p>
    <w:p>
      <w:pPr>
        <w:pStyle w:val="TextBody"/>
        <w:bidi w:val="0"/>
        <w:spacing w:before="0" w:after="0"/>
        <w:ind w:left="0" w:right="0" w:hanging="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75"/>
        <w:gridCol w:w="170"/>
        <w:gridCol w:w="509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$106.7 million, a year-over-year decrease of 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9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7945" w:type="dxa"/>
        <w:jc w:val="left"/>
        <w:tblInd w:w="0" w:type="dxa"/>
        <w:tblLayout w:type="fixed"/>
        <w:tblCellMar>
          <w:top w:w="0" w:type="dxa"/>
          <w:left w:w="0" w:type="dxa"/>
          <w:bottom w:w="0" w:type="dxa"/>
          <w:right w:w="0" w:type="dxa"/>
        </w:tblCellMar>
      </w:tblPr>
      <w:tblGrid>
        <w:gridCol w:w="75"/>
        <w:gridCol w:w="125"/>
        <w:gridCol w:w="774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7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Toys/Consumer Products net sales were $100.1 million, down 7% from $107.4 million last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74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5965" w:type="dxa"/>
        <w:jc w:val="left"/>
        <w:tblInd w:w="0" w:type="dxa"/>
        <w:tblLayout w:type="fixed"/>
        <w:tblCellMar>
          <w:top w:w="0" w:type="dxa"/>
          <w:left w:w="0" w:type="dxa"/>
          <w:bottom w:w="0" w:type="dxa"/>
          <w:right w:w="0" w:type="dxa"/>
        </w:tblCellMar>
      </w:tblPr>
      <w:tblGrid>
        <w:gridCol w:w="75"/>
        <w:gridCol w:w="125"/>
        <w:gridCol w:w="576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Costumes net sales were $6.6 million, a year-over-year increase of 13%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of 33.4%, down 100 basis points vs. Q1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$35.6 million, down 9% compared to $39.0 million in Q1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6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7480" w:type="dxa"/>
        <w:jc w:val="left"/>
        <w:tblInd w:w="0" w:type="dxa"/>
        <w:tblLayout w:type="fixed"/>
        <w:tblCellMar>
          <w:top w:w="0" w:type="dxa"/>
          <w:left w:w="0" w:type="dxa"/>
          <w:bottom w:w="0" w:type="dxa"/>
          <w:right w:w="0" w:type="dxa"/>
        </w:tblCellMar>
      </w:tblPr>
      <w:tblGrid>
        <w:gridCol w:w="75"/>
        <w:gridCol w:w="170"/>
        <w:gridCol w:w="723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of $5.6 million in Q1 2026, compared to a loss of $3.8 million in Q1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23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 of $4.3 million or $0.37 per diluted share, compared to net loss attributable to common stockholders of $2.4 million or $0.21 per diluted share in Q1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 attributable to common stockholders (a non-GAAP measure) of $1.9 million or $0.17 per diluted share, compared to adjusted net loss attributable to common stockholders of $0.4 million or $0.03 per diluted share in Q1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7315" w:type="dxa"/>
        <w:jc w:val="left"/>
        <w:tblInd w:w="0" w:type="dxa"/>
        <w:tblLayout w:type="fixed"/>
        <w:tblCellMar>
          <w:top w:w="0" w:type="dxa"/>
          <w:left w:w="0" w:type="dxa"/>
          <w:bottom w:w="0" w:type="dxa"/>
          <w:right w:w="0" w:type="dxa"/>
        </w:tblCellMar>
      </w:tblPr>
      <w:tblGrid>
        <w:gridCol w:w="75"/>
        <w:gridCol w:w="170"/>
        <w:gridCol w:w="707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 non-GAAP measure) of $(0.4) million vs. $0.4 million in Q1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7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8268" w:type="dxa"/>
        <w:jc w:val="left"/>
        <w:tblInd w:w="0" w:type="dxa"/>
        <w:tblLayout w:type="fixed"/>
        <w:tblCellMar>
          <w:top w:w="0" w:type="dxa"/>
          <w:left w:w="0" w:type="dxa"/>
          <w:bottom w:w="0" w:type="dxa"/>
          <w:right w:w="0" w:type="dxa"/>
        </w:tblCellMar>
      </w:tblPr>
      <w:tblGrid>
        <w:gridCol w:w="38"/>
        <w:gridCol w:w="17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Trailing-twelve-month Adjusted EBITDA of $34.6 million, down from $35.4 million as of Q4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first quarter for our company is always focused on working with customers to understand the implications of the year that has just closed. For companies like ours that can move quickly and are focused on meeting their customers’ needs that leads to uncovering new opportunities. From that perspective, this has been a very successful quarter, and we feel we are building momentum. Our persistent focus on international growth delivered well. On a trailing twelve-month basis, our International Net Sales have reached $138 million, the highest level we achieved over the past ten years. Customers in the U.S. remain cautious but we are rebuilding the base that was disrupted last year. Our Costumes business continues to steadily expand both its product line breadth as well as its customer footprint,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 North America were down 16% in the quarter compared to the previous year but were up compared to the same quarter in 2024. International Sales were $29.0 million in the quarter, up from $21.0 million last year and $16.3 million in 2024. Globally, Action Play &amp; Collectibles net sales were $55.3 million, up from $42.9 million and $33.0 million in 2025 and 2024, respectively. Dolls, Role-Play, Dress-Up net sales were $37.5 million, compared to $55.5 million and $40.6 million in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was $52.9 million as of March 31, 2026, compared to $53.2 million as of March 31, 2025, and $59.8 million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(including restricted cash and cash equivalents) was $64.0 million as of March 31, 2026, compared to $59.4 million as of March 31, 2025, and $54.1 million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declared a quarterly dividend of $0.25 per share on the company’s common stock, payable June 29, 2026, to shareholders of record May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Information and Reconciliation of GAAP to Non-GAAP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preliminary results reported in accordance with U.S. GAAP included in this release, the Company has provided certain non-GAAP financial information including Adjusted EBITDA and Adjusted Net Income (Loss) that exclude various items that are detailed in the financial tables and accompanying footnotes reconciling GAAP to non-GAAP results contained in this release. The non-GAAP financial measures included in the press release are reconciled to the corresponding GAAP financial measures below, as required under the rules of the Securities and Exchange Commission regarding the 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as income (loss) from operations before depreciation, amortization and adjusted for certain non-recurring and non-cash charges, such as reorganization expenses and restricted stock compensation expense Net income (loss) is similarly adjusted and tax-effected to arrive at Adjusted Net Income (Loss). Adjusted EBITDA and Adjusted Net Income (Loss) are not recognized financial measures under GAAP, but we believe that they are useful in measuring our operating performance, enhance an overall understanding of the Company’s past financial performance, and provides useful information to the investor by comparing our performance across reporting periods on a consistent basis. Investors should not consider these measures in isolation or as a substitute for net income, operating income, or any other measure for determining the Company’s operating performance that is calculated in accordance with GAAP. In addition, because these measures are not calculated in accordance with GAAP, they may not necessarily be comparable to similarly titled measures employed by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included in the press release are reconciled to the corresponding GAAP financial measures below, as required under the rules of the Securities and Exchange Commission regarding the use of non-GAAP financial measures. See “Use of Non-GAAP Financial Information” for additional disclosures with respect to the use of non-GAAP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Live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JAKKS Pacific, Inc. invites analysts, investors and media to listen to the teleconference scheduled for 5:00 p.m. ET / 2:00 p.m. PT on April 30, 2026. A live webcast of the call will be available on the “Investor Relations” page of the Company’s website at www.jakks.com/investors. To access the call by phone, please go to this link (1Q26 Registration link), and you will be provided with dial-in details. To avoid delays, we encourage participants to dial into the conference call fifteen minutes ahead of the scheduled start time. A replay of the webcast will also be available for a limited time at (www.jakks.com/investors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JAKKS Pacific,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JAKKS Pacific, Inc. is a leading designer, manufacturer and marketer of toys, costumes and consumer products sold throughout the world, with its headquarters in Santa Monica, California. JAKKS Pacific’s popular proprietary brands include Disguise®, Fly Wheels®, Charming™, KidTopia®, Moose Mountain®, Maui®, ReDo Skateboard Co. ®, Sky Ball®, and Xtreme Power Dozer™ as well as a wide range of entertainment-inspired products featuring premier licensed properties. Through their products and charitable donations, JAKKS is helping to make a positive impact on the lives of children. Visit us at www.jakks.com and follow us on Instagram (@jakkspacific.toys), X (@jakkstoys), YouTube (@JAKKSPacific), Facebook (@jakkspacific.toys) and LinkedIn (JAKKS Pacific).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that are based on current expectations, estimates and projections about JAKKS Pacific's business based partly on assumptions made by its management. These statements are not guarantees of future performance and involve risks, uncertainties and assumptions that are difficult to predict. Therefore, actual outcomes and results may differ materially from what is expressed or forecasted in such statements due to numerous factors, including, but not limited to, those described above, changes in demand for JAKKS Pacific's products, product mix, the timing of customer orders and deliveries, the impact of competitive products, tariff policy and pricing, or any future transactions will result in future growth or success of JAKKS. The “forward-looking statements” contained herein speak only as of the date on which they are made, and JAKKS undertakes no obligation to update any of them to reflect events or circumstances after the date of this release.</w:t>
      </w:r>
    </w:p>
    <w:p>
      <w:pPr>
        <w:pStyle w:val="TextBody"/>
        <w:bidi w:val="0"/>
        <w:spacing w:before="0" w:after="0"/>
        <w:ind w:left="0" w:right="0" w:hanging="0"/>
        <w:jc w:val="left"/>
        <w:rPr>
          <w:caps w:val="false"/>
          <w:smallCaps w:val="false"/>
        </w:rPr>
      </w:pPr>
      <w:r>
        <w:rPr>
          <w:caps w:val="false"/>
          <w:smallCaps w:val="false"/>
        </w:rPr>
        <w:t> </w:t>
      </w:r>
    </w:p>
    <w:tbl>
      <w:tblPr>
        <w:tblW w:w="2765" w:type="dxa"/>
        <w:jc w:val="left"/>
        <w:tblInd w:w="0" w:type="dxa"/>
        <w:tblLayout w:type="fixed"/>
        <w:tblCellMar>
          <w:top w:w="0" w:type="dxa"/>
          <w:left w:w="0" w:type="dxa"/>
          <w:bottom w:w="0" w:type="dxa"/>
          <w:right w:w="0" w:type="dxa"/>
        </w:tblCellMar>
      </w:tblPr>
      <w:tblGrid>
        <w:gridCol w:w="2765"/>
      </w:tblGrid>
      <w:tr>
        <w:trPr/>
        <w:tc>
          <w:tcPr>
            <w:tcW w:w="27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tc>
      </w:tr>
      <w:tr>
        <w:trPr/>
        <w:tc>
          <w:tcPr>
            <w:tcW w:w="27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JAKKS Pacific Investor Relations</w:t>
            </w:r>
          </w:p>
        </w:tc>
      </w:tr>
      <w:tr>
        <w:trPr/>
        <w:tc>
          <w:tcPr>
            <w:tcW w:w="27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 268-9567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Lucas Natalini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investors@jakks.net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jc w:val="left"/>
        <w:rPr>
          <w:caps w:val="false"/>
          <w:smallCaps w:val="false"/>
        </w:rPr>
      </w:pPr>
      <w:r>
        <w:rPr>
          <w:caps w:val="false"/>
          <w:smallCaps w:val="false"/>
        </w:rPr>
        <w:t> </w:t>
      </w:r>
    </w:p>
    <w:tbl>
      <w:tblPr>
        <w:tblW w:w="7214" w:type="dxa"/>
        <w:jc w:val="left"/>
        <w:tblInd w:w="0" w:type="dxa"/>
        <w:tblLayout w:type="fixed"/>
        <w:tblCellMar>
          <w:top w:w="0" w:type="dxa"/>
          <w:left w:w="0" w:type="dxa"/>
          <w:bottom w:w="0" w:type="dxa"/>
          <w:right w:w="0" w:type="dxa"/>
        </w:tblCellMar>
      </w:tblPr>
      <w:tblGrid>
        <w:gridCol w:w="3965"/>
        <w:gridCol w:w="60"/>
        <w:gridCol w:w="125"/>
        <w:gridCol w:w="695"/>
        <w:gridCol w:w="80"/>
        <w:gridCol w:w="60"/>
        <w:gridCol w:w="125"/>
        <w:gridCol w:w="695"/>
        <w:gridCol w:w="80"/>
        <w:gridCol w:w="60"/>
        <w:gridCol w:w="178"/>
        <w:gridCol w:w="996"/>
        <w:gridCol w:w="95"/>
      </w:tblGrid>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4"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960" w:type="dxa"/>
            <w:gridSpan w:val="4"/>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228,828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228,023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269,085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152,224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400,446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405,871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442,197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 for sales returns and allowances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long 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158,462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170,845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304,229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295,931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302,408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(41,021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JAKKS Pacific, Inc.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241,984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241,984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400,446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405,871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442,197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Balance Sheet and Cash Flow Data (Unaudited)</w:t>
      </w:r>
    </w:p>
    <w:p>
      <w:pPr>
        <w:pStyle w:val="TextBody"/>
        <w:bidi w:val="0"/>
        <w:spacing w:before="0" w:after="0"/>
        <w:ind w:left="0" w:right="0" w:hanging="0"/>
        <w:jc w:val="left"/>
        <w:rPr>
          <w:caps w:val="false"/>
          <w:smallCaps w:val="false"/>
        </w:rPr>
      </w:pPr>
      <w:r>
        <w:rPr>
          <w:caps w:val="false"/>
          <w:smallCaps w:val="false"/>
        </w:rPr>
        <w:t> </w:t>
      </w:r>
    </w:p>
    <w:tbl>
      <w:tblPr>
        <w:tblW w:w="5267" w:type="dxa"/>
        <w:jc w:val="left"/>
        <w:tblInd w:w="0" w:type="dxa"/>
        <w:tblLayout w:type="fixed"/>
        <w:tblCellMar>
          <w:top w:w="0" w:type="dxa"/>
          <w:left w:w="0" w:type="dxa"/>
          <w:bottom w:w="0" w:type="dxa"/>
          <w:right w:w="0" w:type="dxa"/>
        </w:tblCellMar>
      </w:tblPr>
      <w:tblGrid>
        <w:gridCol w:w="4100"/>
        <w:gridCol w:w="60"/>
        <w:gridCol w:w="91"/>
        <w:gridCol w:w="349"/>
        <w:gridCol w:w="76"/>
        <w:gridCol w:w="76"/>
        <w:gridCol w:w="91"/>
        <w:gridCol w:w="349"/>
        <w:gridCol w:w="75"/>
      </w:tblGrid>
      <w:tr>
        <w:trPr/>
        <w:tc>
          <w:tcPr>
            <w:tcW w:w="4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Balance Sheet Data: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days sales outstanding (DSO)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turnover (DSI)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32"/>
        <w:gridCol w:w="60"/>
        <w:gridCol w:w="136"/>
        <w:gridCol w:w="643"/>
        <w:gridCol w:w="86"/>
        <w:gridCol w:w="64"/>
        <w:gridCol w:w="136"/>
        <w:gridCol w:w="709"/>
        <w:gridCol w:w="80"/>
        <w:gridCol w:w="60"/>
        <w:gridCol w:w="214"/>
        <w:gridCol w:w="1116"/>
        <w:gridCol w:w="136"/>
        <w:gridCol w:w="102"/>
        <w:gridCol w:w="214"/>
        <w:gridCol w:w="1116"/>
        <w:gridCol w:w="101"/>
      </w:tblGrid>
      <w:tr>
        <w:trPr/>
        <w:tc>
          <w:tcPr>
            <w:tcW w:w="523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Trailing Twelve Months (*) Ended </w:t>
              <w:br/>
              <w:t>March 31,</w:t>
            </w:r>
          </w:p>
        </w:tc>
        <w:tc>
          <w:tcPr>
            <w:tcW w:w="10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Cash Flow Data: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21,795</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31,987</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50,110</w:t>
            </w:r>
          </w:p>
        </w:tc>
        <w:tc>
          <w:tcPr>
            <w:tcW w:w="10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(5,812</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(15,091</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(12,320</w:t>
            </w:r>
          </w:p>
        </w:tc>
        <w:tc>
          <w:tcPr>
            <w:tcW w:w="10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used in financing activities and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(6,068</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(12,310</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(13,887</w:t>
            </w:r>
          </w:p>
        </w:tc>
        <w:tc>
          <w:tcPr>
            <w:tcW w:w="10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9,915</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4,586</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23,903</w:t>
            </w:r>
          </w:p>
        </w:tc>
        <w:tc>
          <w:tcPr>
            <w:tcW w:w="10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(5,589</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(13,082</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(11,088</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Trailing twelve months (TTM) amounts are calculated as the sum of the most recent four quarters, derived from reported GAAP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0"/>
        <w:ind w:left="0" w:right="0" w:hanging="0"/>
        <w:jc w:val="left"/>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3710"/>
        <w:gridCol w:w="60"/>
        <w:gridCol w:w="216"/>
        <w:gridCol w:w="1209"/>
        <w:gridCol w:w="138"/>
        <w:gridCol w:w="103"/>
        <w:gridCol w:w="216"/>
        <w:gridCol w:w="1209"/>
        <w:gridCol w:w="80"/>
        <w:gridCol w:w="60"/>
        <w:gridCol w:w="75"/>
        <w:gridCol w:w="424"/>
        <w:gridCol w:w="260"/>
      </w:tblGrid>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1"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142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106,676</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52,187</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16,913</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tools and molds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71,070</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35,606</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selling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8,164</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32,864</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41,180</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(5,574</w:t>
            </w:r>
          </w:p>
        </w:tc>
        <w:tc>
          <w:tcPr>
            <w:tcW w:w="1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1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benefit from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(5,129</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w:t>
            </w:r>
          </w:p>
        </w:tc>
        <w:tc>
          <w:tcPr>
            <w:tcW w:w="1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(4,280</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per share - basic &amp;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(0.37</w:t>
            </w:r>
          </w:p>
        </w:tc>
        <w:tc>
          <w:tcPr>
            <w:tcW w:w="1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used in loss per share - basic &amp;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11,444</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6979" w:type="dxa"/>
        <w:jc w:val="left"/>
        <w:tblInd w:w="0" w:type="dxa"/>
        <w:tblLayout w:type="fixed"/>
        <w:tblCellMar>
          <w:top w:w="0" w:type="dxa"/>
          <w:left w:w="0" w:type="dxa"/>
          <w:bottom w:w="0" w:type="dxa"/>
          <w:right w:w="0" w:type="dxa"/>
        </w:tblCellMar>
      </w:tblPr>
      <w:tblGrid>
        <w:gridCol w:w="3650"/>
        <w:gridCol w:w="60"/>
        <w:gridCol w:w="78"/>
        <w:gridCol w:w="637"/>
        <w:gridCol w:w="322"/>
        <w:gridCol w:w="78"/>
        <w:gridCol w:w="78"/>
        <w:gridCol w:w="637"/>
        <w:gridCol w:w="245"/>
        <w:gridCol w:w="60"/>
        <w:gridCol w:w="123"/>
        <w:gridCol w:w="916"/>
        <w:gridCol w:w="95"/>
      </w:tblGrid>
      <w:tr>
        <w:trPr/>
        <w:tc>
          <w:tcPr>
            <w:tcW w:w="3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March 31,</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 bps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Fav/(Unfav)</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tools and molds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selling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3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benefit from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3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Information (Unaudited)</w:t>
      </w:r>
    </w:p>
    <w:p>
      <w:pPr>
        <w:pStyle w:val="TextBody"/>
        <w:bidi w:val="0"/>
        <w:spacing w:before="0" w:after="0"/>
        <w:ind w:left="0" w:right="0" w:hanging="0"/>
        <w:jc w:val="left"/>
        <w:rPr/>
      </w:pPr>
      <w:r>
        <w:rPr>
          <w:caps w:val="false"/>
          <w:smallCaps w:val="false"/>
        </w:rPr>
        <w:t> </w:t>
      </w:r>
      <w:r>
        <w:rPr/>
        <w:t xml:space="preserve"> </w:t>
      </w:r>
    </w:p>
    <w:tbl>
      <w:tblPr>
        <w:tblW w:w="9293" w:type="dxa"/>
        <w:jc w:val="left"/>
        <w:tblInd w:w="0" w:type="dxa"/>
        <w:tblLayout w:type="fixed"/>
        <w:tblCellMar>
          <w:top w:w="0" w:type="dxa"/>
          <w:left w:w="0" w:type="dxa"/>
          <w:bottom w:w="0" w:type="dxa"/>
          <w:right w:w="0" w:type="dxa"/>
        </w:tblCellMar>
      </w:tblPr>
      <w:tblGrid>
        <w:gridCol w:w="3230"/>
        <w:gridCol w:w="60"/>
        <w:gridCol w:w="136"/>
        <w:gridCol w:w="593"/>
        <w:gridCol w:w="266"/>
        <w:gridCol w:w="65"/>
        <w:gridCol w:w="136"/>
        <w:gridCol w:w="593"/>
        <w:gridCol w:w="185"/>
        <w:gridCol w:w="60"/>
        <w:gridCol w:w="125"/>
        <w:gridCol w:w="725"/>
        <w:gridCol w:w="80"/>
        <w:gridCol w:w="60"/>
        <w:gridCol w:w="136"/>
        <w:gridCol w:w="593"/>
        <w:gridCol w:w="266"/>
        <w:gridCol w:w="65"/>
        <w:gridCol w:w="136"/>
        <w:gridCol w:w="593"/>
        <w:gridCol w:w="185"/>
        <w:gridCol w:w="60"/>
        <w:gridCol w:w="125"/>
        <w:gridCol w:w="725"/>
        <w:gridCol w:w="95"/>
      </w:tblGrid>
      <w:tr>
        <w:trPr/>
        <w:tc>
          <w:tcPr>
            <w:tcW w:w="3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66"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66"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EBITDA and Adjusted EBITDA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66"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66"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(4,280</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(4,280</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w:t>
            </w:r>
          </w:p>
        </w:tc>
        <w:tc>
          <w:tcPr>
            <w:tcW w:w="2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w:t>
            </w:r>
          </w:p>
        </w:tc>
        <w:tc>
          <w:tcPr>
            <w:tcW w:w="2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(3,427</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(3,427</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3,081</w:t>
            </w:r>
          </w:p>
        </w:tc>
        <w:tc>
          <w:tcPr>
            <w:tcW w:w="2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3,081</w:t>
            </w:r>
          </w:p>
        </w:tc>
        <w:tc>
          <w:tcPr>
            <w:tcW w:w="2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EBITDA/Net sales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-60 bps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-60 bps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3710"/>
        <w:gridCol w:w="60"/>
        <w:gridCol w:w="201"/>
        <w:gridCol w:w="952"/>
        <w:gridCol w:w="298"/>
        <w:gridCol w:w="96"/>
        <w:gridCol w:w="201"/>
        <w:gridCol w:w="952"/>
        <w:gridCol w:w="185"/>
        <w:gridCol w:w="60"/>
        <w:gridCol w:w="125"/>
        <w:gridCol w:w="830"/>
        <w:gridCol w:w="95"/>
      </w:tblGrid>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Trailing Twelve Months Ended </w:t>
              <w:br/>
              <w:t>March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98" w:type="dxa"/>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TTM EBITDA and TTM Adjusted EBITDA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8" w:type="dxa"/>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115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TTM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7,973</w:t>
            </w:r>
          </w:p>
        </w:tc>
        <w:tc>
          <w:tcPr>
            <w:tcW w:w="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46,043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(38,070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w:t>
            </w:r>
          </w:p>
        </w:tc>
        <w:tc>
          <w:tcPr>
            <w:tcW w:w="2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5,208</w:t>
            </w:r>
          </w:p>
        </w:tc>
        <w:tc>
          <w:tcPr>
            <w:tcW w:w="2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10,796</w:t>
            </w:r>
          </w:p>
        </w:tc>
        <w:tc>
          <w:tcPr>
            <w:tcW w:w="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TTM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23,240</w:t>
            </w:r>
          </w:p>
        </w:tc>
        <w:tc>
          <w:tcPr>
            <w:tcW w:w="2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67,511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(44,271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w:t>
            </w:r>
          </w:p>
        </w:tc>
        <w:tc>
          <w:tcPr>
            <w:tcW w:w="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11,442</w:t>
            </w:r>
          </w:p>
        </w:tc>
        <w:tc>
          <w:tcPr>
            <w:tcW w:w="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debt extinguishment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2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TTM 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34,639</w:t>
            </w:r>
          </w:p>
        </w:tc>
        <w:tc>
          <w:tcPr>
            <w:tcW w:w="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76,854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TTM Adjusted EBITDA/TTM Net sales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-470 bps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96"/>
        <w:gridCol w:w="60"/>
        <w:gridCol w:w="198"/>
        <w:gridCol w:w="940"/>
        <w:gridCol w:w="127"/>
        <w:gridCol w:w="94"/>
        <w:gridCol w:w="198"/>
        <w:gridCol w:w="940"/>
        <w:gridCol w:w="80"/>
        <w:gridCol w:w="60"/>
        <w:gridCol w:w="125"/>
        <w:gridCol w:w="545"/>
        <w:gridCol w:w="80"/>
        <w:gridCol w:w="60"/>
        <w:gridCol w:w="198"/>
        <w:gridCol w:w="940"/>
        <w:gridCol w:w="127"/>
        <w:gridCol w:w="94"/>
        <w:gridCol w:w="198"/>
        <w:gridCol w:w="940"/>
        <w:gridCol w:w="80"/>
        <w:gridCol w:w="60"/>
        <w:gridCol w:w="125"/>
        <w:gridCol w:w="545"/>
        <w:gridCol w:w="95"/>
      </w:tblGrid>
      <w:tr>
        <w:trPr/>
        <w:tc>
          <w:tcPr>
            <w:tcW w:w="329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9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7"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1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7"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1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 ($)</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9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96"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Adjusted net loss attributable to common stockholders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8"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138"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8"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138"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(4,280</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(4,280</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(1,898</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3,081</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3,081</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impact of additional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(3,866</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(3,342</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(5,065</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(4,711</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loss per share - basic &amp;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(0.44</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used in adjusted loss per share - basic &amp;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11,444</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11,444</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earnings (loss) per share -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(0.44</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used in adjusted earnings (loss) per share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11,444</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11,444</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 by Division and Geographic Region</w:t>
      </w:r>
    </w:p>
    <w:p>
      <w:pPr>
        <w:pStyle w:val="TextBody"/>
        <w:bidi w:val="0"/>
        <w:spacing w:before="0" w:after="0"/>
        <w:ind w:left="0" w:right="0" w:hanging="0"/>
        <w:jc w:val="left"/>
        <w:rPr>
          <w:caps w:val="false"/>
          <w:smallCaps w:val="false"/>
        </w:rPr>
      </w:pPr>
      <w:r>
        <w:rPr>
          <w:caps w:val="false"/>
          <w:smallCaps w:val="false"/>
        </w:rPr>
        <w:t> </w:t>
      </w:r>
    </w:p>
    <w:tbl>
      <w:tblPr>
        <w:tblW w:w="8363" w:type="dxa"/>
        <w:jc w:val="left"/>
        <w:tblInd w:w="0" w:type="dxa"/>
        <w:tblLayout w:type="fixed"/>
        <w:tblCellMar>
          <w:top w:w="0" w:type="dxa"/>
          <w:left w:w="0" w:type="dxa"/>
          <w:bottom w:w="28" w:type="dxa"/>
          <w:right w:w="0" w:type="dxa"/>
        </w:tblCellMar>
      </w:tblPr>
      <w:tblGrid>
        <w:gridCol w:w="2225"/>
        <w:gridCol w:w="60"/>
        <w:gridCol w:w="125"/>
        <w:gridCol w:w="590"/>
        <w:gridCol w:w="60"/>
        <w:gridCol w:w="60"/>
        <w:gridCol w:w="125"/>
        <w:gridCol w:w="695"/>
        <w:gridCol w:w="60"/>
        <w:gridCol w:w="60"/>
        <w:gridCol w:w="125"/>
        <w:gridCol w:w="695"/>
        <w:gridCol w:w="60"/>
        <w:gridCol w:w="60"/>
        <w:gridCol w:w="125"/>
        <w:gridCol w:w="929"/>
        <w:gridCol w:w="215"/>
        <w:gridCol w:w="60"/>
        <w:gridCol w:w="215"/>
        <w:gridCol w:w="1589"/>
        <w:gridCol w:w="230"/>
      </w:tblGrid>
      <w:tr>
        <w:trPr/>
        <w:tc>
          <w:tcPr>
            <w:tcW w:w="22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5848" w:type="dxa"/>
            <w:gridSpan w:val="18"/>
            <w:tcBorders>
              <w:top w:val="single" w:sz="8" w:space="0" w:color="000000"/>
              <w:left w:val="single" w:sz="8" w:space="0" w:color="000000"/>
              <w:bottom w:val="single" w:sz="8" w:space="0" w:color="000000"/>
            </w:tcBorders>
            <w:tcMar>
              <w:top w:w="28" w:type="dxa"/>
              <w:lef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QTD Q1</w:t>
            </w:r>
          </w:p>
        </w:tc>
        <w:tc>
          <w:tcPr>
            <w:tcW w:w="23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left w:val="single" w:sz="8" w:space="0" w:color="000000"/>
              <w:bottom w:val="single" w:sz="8" w:space="0" w:color="000000"/>
            </w:tcBorders>
            <w:tcMar>
              <w:lef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Divisions</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left w:val="single" w:sz="8" w:space="0" w:color="000000"/>
              <w:bottom w:val="single" w:sz="8" w:space="0" w:color="000000"/>
            </w:tcBorders>
            <w:tcMar>
              <w:lef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br/>
              <w:t>2025 v 2026</w:t>
            </w:r>
          </w:p>
        </w:tc>
        <w:tc>
          <w:tcPr>
            <w:tcW w:w="2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8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CAGR% 2024 - 2026</w:t>
            </w:r>
          </w:p>
        </w:tc>
        <w:tc>
          <w:tcPr>
            <w:tcW w:w="230" w:type="dxa"/>
            <w:tcBorders>
              <w:bottom w:val="single" w:sz="8" w:space="0" w:color="000000"/>
              <w:right w:val="single" w:sz="8" w:space="0" w:color="000000"/>
            </w:tcBorders>
            <w:tcMar>
              <w:right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225" w:type="dxa"/>
            <w:tcBorders>
              <w:left w:val="single" w:sz="8" w:space="0" w:color="000000"/>
            </w:tcBorders>
            <w:shd w:fill="CCEEFF" w:val="clear"/>
            <w:tcMar>
              <w:left w:w="18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Toys/Consumer Products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tcBorders>
            <w:shd w:fill="CCEEFF" w:val="clear"/>
            <w:tcMar>
              <w:left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100,095</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230" w:type="dxa"/>
            <w:tcBorders>
              <w:right w:val="single" w:sz="8" w:space="0" w:color="000000"/>
            </w:tcBorders>
            <w:shd w:fill="CCEEFF" w:val="clear"/>
            <w:tcMar>
              <w:bottom w:w="0" w:type="dxa"/>
              <w:right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left w:val="single" w:sz="8" w:space="0" w:color="000000"/>
            </w:tcBorders>
            <w:shd w:fill="FFFFFF" w:val="clear"/>
            <w:tcMar>
              <w:left w:w="36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Dolls, Role-Play/Dress-Up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tcBorders>
            <w:shd w:fill="FFFFFF" w:val="clear"/>
            <w:tcMar>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40,574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55,463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37,497</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230" w:type="dxa"/>
            <w:tcBorders>
              <w:right w:val="single" w:sz="8" w:space="0" w:color="000000"/>
            </w:tcBorders>
            <w:shd w:fill="FFFFFF" w:val="clear"/>
            <w:tcMar>
              <w:bottom w:w="0" w:type="dxa"/>
              <w:right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left w:val="single" w:sz="8" w:space="0" w:color="000000"/>
            </w:tcBorders>
            <w:shd w:fill="CCEEFF" w:val="clear"/>
            <w:tcMar>
              <w:left w:w="36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Play &amp; Collectibles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tcBorders>
            <w:shd w:fill="CCEEFF" w:val="clear"/>
            <w:tcMar>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42,881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55,269</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230" w:type="dxa"/>
            <w:tcBorders>
              <w:right w:val="single" w:sz="8" w:space="0" w:color="000000"/>
            </w:tcBorders>
            <w:shd w:fill="CCEEFF" w:val="clear"/>
            <w:tcMar>
              <w:bottom w:w="0" w:type="dxa"/>
              <w:right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left w:val="single" w:sz="8" w:space="0" w:color="000000"/>
            </w:tcBorders>
            <w:shd w:fill="FFFFFF" w:val="clear"/>
            <w:tcMar>
              <w:left w:w="36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Outdoor/Seasonal Toys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tcBorders>
            <w:shd w:fill="FFFFFF" w:val="clear"/>
            <w:tcMar>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7,329</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230" w:type="dxa"/>
            <w:tcBorders>
              <w:right w:val="single" w:sz="8" w:space="0" w:color="000000"/>
            </w:tcBorders>
            <w:shd w:fill="FFFFFF" w:val="clear"/>
            <w:tcMar>
              <w:bottom w:w="0" w:type="dxa"/>
              <w:right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left w:val="single" w:sz="8" w:space="0" w:color="000000"/>
              <w:bottom w:val="single" w:sz="8" w:space="0" w:color="000000"/>
            </w:tcBorders>
            <w:shd w:fill="CCEEFF" w:val="clear"/>
            <w:tcMar>
              <w:left w:w="18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Costumes</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7,166</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5,815</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6,581</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21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23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90,076</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113,253</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106,676</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w:t>
            </w:r>
          </w:p>
        </w:tc>
        <w:tc>
          <w:tcPr>
            <w:tcW w:w="2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w:t>
            </w:r>
          </w:p>
        </w:tc>
        <w:tc>
          <w:tcPr>
            <w:tcW w:w="23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jc w:val="left"/>
        <w:rPr>
          <w:caps w:val="false"/>
          <w:smallCaps w:val="false"/>
        </w:rPr>
      </w:pPr>
      <w:r>
        <w:rPr>
          <w:caps w:val="false"/>
          <w:smallCaps w:val="false"/>
        </w:rPr>
        <w:t> </w:t>
      </w:r>
    </w:p>
    <w:tbl>
      <w:tblPr>
        <w:tblW w:w="8213" w:type="dxa"/>
        <w:jc w:val="left"/>
        <w:tblInd w:w="0" w:type="dxa"/>
        <w:tblLayout w:type="fixed"/>
        <w:tblCellMar>
          <w:top w:w="0" w:type="dxa"/>
          <w:left w:w="0" w:type="dxa"/>
          <w:bottom w:w="28" w:type="dxa"/>
          <w:right w:w="0" w:type="dxa"/>
        </w:tblCellMar>
      </w:tblPr>
      <w:tblGrid>
        <w:gridCol w:w="2075"/>
        <w:gridCol w:w="60"/>
        <w:gridCol w:w="125"/>
        <w:gridCol w:w="590"/>
        <w:gridCol w:w="60"/>
        <w:gridCol w:w="60"/>
        <w:gridCol w:w="125"/>
        <w:gridCol w:w="695"/>
        <w:gridCol w:w="60"/>
        <w:gridCol w:w="60"/>
        <w:gridCol w:w="125"/>
        <w:gridCol w:w="695"/>
        <w:gridCol w:w="60"/>
        <w:gridCol w:w="60"/>
        <w:gridCol w:w="115"/>
        <w:gridCol w:w="939"/>
        <w:gridCol w:w="215"/>
        <w:gridCol w:w="60"/>
        <w:gridCol w:w="246"/>
        <w:gridCol w:w="1558"/>
        <w:gridCol w:w="230"/>
      </w:tblGrid>
      <w:tr>
        <w:trPr/>
        <w:tc>
          <w:tcPr>
            <w:tcW w:w="20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5848" w:type="dxa"/>
            <w:gridSpan w:val="18"/>
            <w:tcBorders>
              <w:top w:val="single" w:sz="8" w:space="0" w:color="000000"/>
              <w:left w:val="single" w:sz="8" w:space="0" w:color="000000"/>
              <w:bottom w:val="single" w:sz="8" w:space="0" w:color="000000"/>
            </w:tcBorders>
            <w:tcMar>
              <w:top w:w="28" w:type="dxa"/>
              <w:lef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QTD Q1</w:t>
            </w:r>
          </w:p>
        </w:tc>
        <w:tc>
          <w:tcPr>
            <w:tcW w:w="23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left w:val="single" w:sz="8" w:space="0" w:color="000000"/>
              <w:bottom w:val="single" w:sz="8" w:space="0" w:color="000000"/>
            </w:tcBorders>
            <w:tcMar>
              <w:lef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Regions</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left w:val="single" w:sz="8" w:space="0" w:color="000000"/>
              <w:bottom w:val="single" w:sz="8" w:space="0" w:color="000000"/>
            </w:tcBorders>
            <w:tcMar>
              <w:lef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br/>
              <w:t>2025 v 2026</w:t>
            </w:r>
          </w:p>
        </w:tc>
        <w:tc>
          <w:tcPr>
            <w:tcW w:w="2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8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CAGR% 2024 - 2026</w:t>
            </w:r>
          </w:p>
        </w:tc>
        <w:tc>
          <w:tcPr>
            <w:tcW w:w="230" w:type="dxa"/>
            <w:tcBorders>
              <w:bottom w:val="single" w:sz="8" w:space="0" w:color="000000"/>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left w:val="single" w:sz="8" w:space="0" w:color="000000"/>
            </w:tcBorders>
            <w:shd w:fill="CCEEFF" w:val="clear"/>
            <w:tcMar>
              <w:left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tcBorders>
            <w:shd w:fill="CCEEFF" w:val="clear"/>
            <w:tcMar>
              <w:left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74,636</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30" w:type="dxa"/>
            <w:tcBorders>
              <w:right w:val="single" w:sz="8" w:space="0" w:color="000000"/>
            </w:tcBorders>
            <w:shd w:fill="CCEEFF" w:val="clear"/>
            <w:tcMar>
              <w:bottom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75" w:type="dxa"/>
            <w:tcBorders>
              <w:left w:val="single" w:sz="8" w:space="0" w:color="000000"/>
            </w:tcBorders>
            <w:shd w:fill="FFFFFF" w:val="clear"/>
            <w:tcMar>
              <w:left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tcBorders>
            <w:shd w:fill="FFFFFF" w:val="clear"/>
            <w:tcMar>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17,379</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w:t>
            </w:r>
          </w:p>
        </w:tc>
        <w:tc>
          <w:tcPr>
            <w:tcW w:w="230" w:type="dxa"/>
            <w:tcBorders>
              <w:right w:val="single" w:sz="8" w:space="0" w:color="000000"/>
            </w:tcBorders>
            <w:shd w:fill="FFFFFF" w:val="clear"/>
            <w:tcMar>
              <w:bottom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75" w:type="dxa"/>
            <w:tcBorders>
              <w:left w:val="single" w:sz="8" w:space="0" w:color="000000"/>
            </w:tcBorders>
            <w:shd w:fill="CCEEFF" w:val="clear"/>
            <w:tcMar>
              <w:left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Latin America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tcBorders>
            <w:shd w:fill="CCEEFF" w:val="clear"/>
            <w:tcMar>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6,962</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230" w:type="dxa"/>
            <w:tcBorders>
              <w:right w:val="single" w:sz="8" w:space="0" w:color="000000"/>
            </w:tcBorders>
            <w:shd w:fill="CCEEFF" w:val="clear"/>
            <w:tcMar>
              <w:bottom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75" w:type="dxa"/>
            <w:tcBorders>
              <w:left w:val="single" w:sz="8" w:space="0" w:color="000000"/>
            </w:tcBorders>
            <w:shd w:fill="FFFFFF" w:val="clear"/>
            <w:tcMar>
              <w:left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tcBorders>
            <w:shd w:fill="FFFFFF" w:val="clear"/>
            <w:tcMar>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230" w:type="dxa"/>
            <w:tcBorders>
              <w:right w:val="single" w:sz="8" w:space="0" w:color="000000"/>
            </w:tcBorders>
            <w:shd w:fill="FFFFFF" w:val="clear"/>
            <w:tcMar>
              <w:bottom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75" w:type="dxa"/>
            <w:tcBorders>
              <w:left w:val="single" w:sz="8" w:space="0" w:color="000000"/>
            </w:tcBorders>
            <w:shd w:fill="CCEEFF" w:val="clear"/>
            <w:tcMar>
              <w:left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 &amp; New Zealand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tcBorders>
            <w:shd w:fill="CCEEFF" w:val="clear"/>
            <w:tcMar>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2,469</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302.8</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230" w:type="dxa"/>
            <w:tcBorders>
              <w:right w:val="single" w:sz="8" w:space="0" w:color="000000"/>
            </w:tcBorders>
            <w:shd w:fill="CCEEFF" w:val="clear"/>
            <w:tcMar>
              <w:bottom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75" w:type="dxa"/>
            <w:tcBorders>
              <w:left w:val="single" w:sz="8" w:space="0" w:color="000000"/>
            </w:tcBorders>
            <w:shd w:fill="FFFFFF" w:val="clear"/>
            <w:tcMar>
              <w:left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tcBorders>
            <w:shd w:fill="FFFFFF" w:val="clear"/>
            <w:tcMar>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1,935</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230" w:type="dxa"/>
            <w:tcBorders>
              <w:right w:val="single" w:sz="8" w:space="0" w:color="000000"/>
            </w:tcBorders>
            <w:shd w:fill="FFFFFF" w:val="clear"/>
            <w:tcMar>
              <w:bottom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75"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 East &amp; Africa</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21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23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75"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90,076</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113,253</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106,676</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w:t>
            </w:r>
          </w:p>
        </w:tc>
        <w:tc>
          <w:tcPr>
            <w:tcW w:w="2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w:t>
            </w:r>
          </w:p>
        </w:tc>
        <w:tc>
          <w:tcPr>
            <w:tcW w:w="23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lineRule="auto" w:line="276" w:before="0" w:after="0"/>
        <w:ind w:left="0" w:right="0" w:hanging="0"/>
        <w:jc w:val="left"/>
        <w:rPr>
          <w:caps w:val="false"/>
          <w:smallCaps w:val="false"/>
        </w:rPr>
      </w:pPr>
      <w:r>
        <w:rPr>
          <w:caps w:val="false"/>
          <w:smallCaps w:val="false"/>
        </w:rPr>
        <w:t> </w:t>
      </w:r>
    </w:p>
    <w:tbl>
      <w:tblPr>
        <w:tblW w:w="7358" w:type="dxa"/>
        <w:jc w:val="left"/>
        <w:tblInd w:w="0" w:type="dxa"/>
        <w:tblLayout w:type="fixed"/>
        <w:tblCellMar>
          <w:top w:w="0" w:type="dxa"/>
          <w:left w:w="0" w:type="dxa"/>
          <w:bottom w:w="28" w:type="dxa"/>
          <w:right w:w="0" w:type="dxa"/>
        </w:tblCellMar>
      </w:tblPr>
      <w:tblGrid>
        <w:gridCol w:w="1220"/>
        <w:gridCol w:w="60"/>
        <w:gridCol w:w="125"/>
        <w:gridCol w:w="590"/>
        <w:gridCol w:w="60"/>
        <w:gridCol w:w="60"/>
        <w:gridCol w:w="125"/>
        <w:gridCol w:w="695"/>
        <w:gridCol w:w="60"/>
        <w:gridCol w:w="60"/>
        <w:gridCol w:w="125"/>
        <w:gridCol w:w="695"/>
        <w:gridCol w:w="60"/>
        <w:gridCol w:w="60"/>
        <w:gridCol w:w="125"/>
        <w:gridCol w:w="929"/>
        <w:gridCol w:w="215"/>
        <w:gridCol w:w="60"/>
        <w:gridCol w:w="246"/>
        <w:gridCol w:w="1558"/>
        <w:gridCol w:w="230"/>
      </w:tblGrid>
      <w:tr>
        <w:trPr/>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5848" w:type="dxa"/>
            <w:gridSpan w:val="18"/>
            <w:tcBorders>
              <w:top w:val="single" w:sz="8" w:space="0" w:color="000000"/>
              <w:left w:val="single" w:sz="8" w:space="0" w:color="000000"/>
              <w:bottom w:val="single" w:sz="8" w:space="0" w:color="000000"/>
            </w:tcBorders>
            <w:tcMar>
              <w:top w:w="28" w:type="dxa"/>
              <w:lef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QTD Q1</w:t>
            </w:r>
          </w:p>
        </w:tc>
        <w:tc>
          <w:tcPr>
            <w:tcW w:w="23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20" w:type="dxa"/>
            <w:tcBorders>
              <w:left w:val="single" w:sz="8" w:space="0" w:color="000000"/>
              <w:bottom w:val="single" w:sz="8" w:space="0" w:color="000000"/>
            </w:tcBorders>
            <w:tcMar>
              <w:lef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Regions</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left w:val="single" w:sz="8" w:space="0" w:color="000000"/>
              <w:bottom w:val="single" w:sz="8" w:space="0" w:color="000000"/>
            </w:tcBorders>
            <w:tcMar>
              <w:lef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br/>
              <w:t>2025 v 2026</w:t>
            </w:r>
          </w:p>
        </w:tc>
        <w:tc>
          <w:tcPr>
            <w:tcW w:w="2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8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CAGR% 2024 - 2026</w:t>
            </w:r>
          </w:p>
        </w:tc>
        <w:tc>
          <w:tcPr>
            <w:tcW w:w="230" w:type="dxa"/>
            <w:tcBorders>
              <w:bottom w:val="single" w:sz="8" w:space="0" w:color="000000"/>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20" w:type="dxa"/>
            <w:tcBorders>
              <w:left w:val="single" w:sz="8" w:space="0" w:color="000000"/>
            </w:tcBorders>
            <w:shd w:fill="CCEEFF" w:val="clear"/>
            <w:tcMar>
              <w:left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tcBorders>
            <w:shd w:fill="CCEEFF" w:val="clear"/>
            <w:tcMar>
              <w:left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77,628</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30" w:type="dxa"/>
            <w:tcBorders>
              <w:right w:val="single" w:sz="8" w:space="0" w:color="000000"/>
            </w:tcBorders>
            <w:shd w:fill="CCEEFF" w:val="clear"/>
            <w:tcMar>
              <w:bottom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22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16,276</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21,030</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29,048</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w:t>
            </w:r>
          </w:p>
        </w:tc>
        <w:tc>
          <w:tcPr>
            <w:tcW w:w="2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23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22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90,076</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113,253</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106,676</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w:t>
            </w:r>
          </w:p>
        </w:tc>
        <w:tc>
          <w:tcPr>
            <w:tcW w:w="21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w:t>
            </w:r>
          </w:p>
        </w:tc>
        <w:tc>
          <w:tcPr>
            <w:tcW w:w="23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lineRule="auto" w:line="276" w:before="0" w:after="0"/>
        <w:ind w:left="0" w:right="0" w:hanging="0"/>
        <w:jc w:val="left"/>
        <w:rPr>
          <w:caps w:val="false"/>
          <w:smallCaps w:val="false"/>
        </w:rPr>
      </w:pPr>
      <w:r>
        <w:rPr>
          <w:caps w:val="false"/>
          <w:smallCaps w:val="false"/>
        </w:rPr>
        <w:t> </w:t>
      </w:r>
    </w:p>
    <w:tbl>
      <w:tblPr>
        <w:tblW w:w="7328" w:type="dxa"/>
        <w:jc w:val="left"/>
        <w:tblInd w:w="0" w:type="dxa"/>
        <w:tblLayout w:type="fixed"/>
        <w:tblCellMar>
          <w:top w:w="0" w:type="dxa"/>
          <w:left w:w="0" w:type="dxa"/>
          <w:bottom w:w="28" w:type="dxa"/>
          <w:right w:w="0" w:type="dxa"/>
        </w:tblCellMar>
      </w:tblPr>
      <w:tblGrid>
        <w:gridCol w:w="1190"/>
        <w:gridCol w:w="60"/>
        <w:gridCol w:w="125"/>
        <w:gridCol w:w="590"/>
        <w:gridCol w:w="60"/>
        <w:gridCol w:w="60"/>
        <w:gridCol w:w="125"/>
        <w:gridCol w:w="695"/>
        <w:gridCol w:w="60"/>
        <w:gridCol w:w="60"/>
        <w:gridCol w:w="125"/>
        <w:gridCol w:w="695"/>
        <w:gridCol w:w="60"/>
        <w:gridCol w:w="60"/>
        <w:gridCol w:w="125"/>
        <w:gridCol w:w="929"/>
        <w:gridCol w:w="215"/>
        <w:gridCol w:w="60"/>
        <w:gridCol w:w="246"/>
        <w:gridCol w:w="1558"/>
        <w:gridCol w:w="230"/>
      </w:tblGrid>
      <w:tr>
        <w:trPr/>
        <w:tc>
          <w:tcPr>
            <w:tcW w:w="11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5848" w:type="dxa"/>
            <w:gridSpan w:val="18"/>
            <w:tcBorders>
              <w:top w:val="single" w:sz="8" w:space="0" w:color="000000"/>
              <w:left w:val="single" w:sz="8" w:space="0" w:color="000000"/>
              <w:bottom w:val="single" w:sz="8" w:space="0" w:color="000000"/>
            </w:tcBorders>
            <w:tcMar>
              <w:top w:w="28" w:type="dxa"/>
              <w:lef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QTD Q1</w:t>
            </w:r>
          </w:p>
        </w:tc>
        <w:tc>
          <w:tcPr>
            <w:tcW w:w="23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90" w:type="dxa"/>
            <w:tcBorders>
              <w:left w:val="single" w:sz="8" w:space="0" w:color="000000"/>
              <w:bottom w:val="single" w:sz="8" w:space="0" w:color="000000"/>
            </w:tcBorders>
            <w:tcMar>
              <w:lef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Regions</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left w:val="single" w:sz="8" w:space="0" w:color="000000"/>
              <w:bottom w:val="single" w:sz="8" w:space="0" w:color="000000"/>
            </w:tcBorders>
            <w:tcMar>
              <w:lef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br/>
              <w:t>2025 v 2026</w:t>
            </w:r>
          </w:p>
        </w:tc>
        <w:tc>
          <w:tcPr>
            <w:tcW w:w="2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8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CAGR% 2024 - 2026</w:t>
            </w:r>
          </w:p>
        </w:tc>
        <w:tc>
          <w:tcPr>
            <w:tcW w:w="230" w:type="dxa"/>
            <w:tcBorders>
              <w:bottom w:val="single" w:sz="8" w:space="0" w:color="000000"/>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90" w:type="dxa"/>
            <w:tcBorders>
              <w:left w:val="single" w:sz="8" w:space="0" w:color="000000"/>
            </w:tcBorders>
            <w:shd w:fill="CCEEFF" w:val="clear"/>
            <w:tcMar>
              <w:left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tcBorders>
            <w:shd w:fill="CCEEFF" w:val="clear"/>
            <w:tcMar>
              <w:left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74,636</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30" w:type="dxa"/>
            <w:tcBorders>
              <w:right w:val="single" w:sz="8" w:space="0" w:color="000000"/>
            </w:tcBorders>
            <w:shd w:fill="CCEEFF" w:val="clear"/>
            <w:tcMar>
              <w:bottom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9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 of World</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19,646</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24,309</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32,040</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2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w:t>
            </w:r>
          </w:p>
        </w:tc>
        <w:tc>
          <w:tcPr>
            <w:tcW w:w="23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9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90,076</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113,253</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106,676</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w:t>
            </w:r>
          </w:p>
        </w:tc>
        <w:tc>
          <w:tcPr>
            <w:tcW w:w="21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w:t>
            </w:r>
          </w:p>
        </w:tc>
        <w:tc>
          <w:tcPr>
            <w:tcW w:w="23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lineRule="auto" w:line="276"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3283</Words>
  <Characters>16533</Characters>
  <CharactersWithSpaces>20553</CharactersWithSpaces>
  <Paragraphs>2899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