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jakk10q033126.htm"/>
      <w:bookmarkStart w:id="1" w:name="ksjakk10q033126"/>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to </w:t>
      </w:r>
      <w:r>
        <w:rPr>
          <w:rFonts w:ascii="Times New Roman;Times;Serif" w:hAnsi="Times New Roman;Times;Serif"/>
          <w:b w:val="false"/>
          <w:i w:val="false"/>
          <w:caps w:val="false"/>
          <w:smallCaps w:val="false"/>
          <w:sz w:val="20"/>
          <w:u w:val="singl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rPr>
        <w:t>001-35448</w:t>
      </w:r>
    </w:p>
    <w:p>
      <w:pPr>
        <w:pStyle w:val="TextBody"/>
        <w:bidi w:val="0"/>
        <w:spacing w:before="0" w:after="0"/>
        <w:ind w:left="0" w:right="0" w:hanging="0"/>
        <w:jc w:val="center"/>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JAKKS Pacific, Inc.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28" w:type="dxa"/>
          <w:right w:w="0" w:type="dxa"/>
        </w:tblCellMar>
      </w:tblPr>
      <w:tblGrid>
        <w:gridCol w:w="2555"/>
        <w:gridCol w:w="90"/>
        <w:gridCol w:w="1595"/>
      </w:tblGrid>
      <w:tr>
        <w:trPr/>
        <w:tc>
          <w:tcPr>
            <w:tcW w:w="2555" w:type="dxa"/>
            <w:tcBorders>
              <w:bottom w:val="single" w:sz="8" w:space="0" w:color="000000"/>
            </w:tcBorders>
            <w:vAlign w:val="center"/>
          </w:tcPr>
          <w:p>
            <w:pPr>
              <w:pStyle w:val="TableContents"/>
              <w:bidi w:val="0"/>
              <w:spacing w:before="0" w:after="283"/>
              <w:jc w:val="center"/>
              <w:rPr>
                <w:b/>
                <w:sz w:val="20"/>
              </w:rPr>
            </w:pPr>
            <w:r>
              <w:rPr>
                <w:b/>
                <w:sz w:val="20"/>
              </w:rPr>
              <w:t>Delaware</w:t>
            </w:r>
          </w:p>
        </w:tc>
        <w:tc>
          <w:tcPr>
            <w:tcW w:w="90" w:type="dxa"/>
            <w:tcBorders/>
            <w:tcMar>
              <w:bottom w:w="0" w:type="dxa"/>
            </w:tcMar>
            <w:vAlign w:val="center"/>
          </w:tcPr>
          <w:p>
            <w:pPr>
              <w:pStyle w:val="TableContents"/>
              <w:bidi w:val="0"/>
              <w:spacing w:before="0" w:after="283"/>
              <w:jc w:val="left"/>
              <w:rPr/>
            </w:pPr>
            <w:r>
              <w:rPr/>
              <w:t> </w:t>
            </w:r>
          </w:p>
        </w:tc>
        <w:tc>
          <w:tcPr>
            <w:tcW w:w="1595" w:type="dxa"/>
            <w:tcBorders>
              <w:bottom w:val="single" w:sz="8" w:space="0" w:color="000000"/>
            </w:tcBorders>
            <w:vAlign w:val="center"/>
          </w:tcPr>
          <w:p>
            <w:pPr>
              <w:pStyle w:val="TableContents"/>
              <w:bidi w:val="0"/>
              <w:spacing w:before="0" w:after="283"/>
              <w:jc w:val="center"/>
              <w:rPr>
                <w:b/>
                <w:sz w:val="20"/>
              </w:rPr>
            </w:pPr>
            <w:r>
              <w:rPr>
                <w:b/>
                <w:sz w:val="20"/>
              </w:rPr>
              <w:t>95-4527222</w:t>
            </w:r>
          </w:p>
        </w:tc>
      </w:tr>
      <w:tr>
        <w:trPr/>
        <w:tc>
          <w:tcPr>
            <w:tcW w:w="2555" w:type="dxa"/>
            <w:tcBorders/>
            <w:tcMar>
              <w:bottom w:w="0" w:type="dxa"/>
            </w:tcMar>
            <w:vAlign w:val="center"/>
          </w:tcPr>
          <w:p>
            <w:pPr>
              <w:pStyle w:val="TableContents"/>
              <w:bidi w:val="0"/>
              <w:spacing w:before="0" w:after="283"/>
              <w:jc w:val="center"/>
              <w:rPr>
                <w:sz w:val="20"/>
              </w:rPr>
            </w:pPr>
            <w:r>
              <w:rPr>
                <w:sz w:val="20"/>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595" w:type="dxa"/>
            <w:tcBorders/>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jc w:val="left"/>
        <w:rPr>
          <w:caps w:val="false"/>
          <w:smallCaps w:val="false"/>
        </w:rPr>
      </w:pPr>
      <w:r>
        <w:rPr>
          <w:caps w:val="false"/>
          <w:smallCaps w:val="false"/>
        </w:rPr>
        <w:t> </w:t>
      </w:r>
    </w:p>
    <w:tbl>
      <w:tblPr>
        <w:tblW w:w="5470" w:type="dxa"/>
        <w:jc w:val="left"/>
        <w:tblInd w:w="0" w:type="dxa"/>
        <w:tblLayout w:type="fixed"/>
        <w:tblCellMar>
          <w:top w:w="0" w:type="dxa"/>
          <w:left w:w="0" w:type="dxa"/>
          <w:bottom w:w="28" w:type="dxa"/>
          <w:right w:w="0" w:type="dxa"/>
        </w:tblCellMar>
      </w:tblPr>
      <w:tblGrid>
        <w:gridCol w:w="4400"/>
        <w:gridCol w:w="90"/>
        <w:gridCol w:w="980"/>
      </w:tblGrid>
      <w:tr>
        <w:trPr/>
        <w:tc>
          <w:tcPr>
            <w:tcW w:w="4400" w:type="dxa"/>
            <w:tcBorders>
              <w:bottom w:val="single" w:sz="8" w:space="0" w:color="000000"/>
            </w:tcBorders>
            <w:vAlign w:val="center"/>
          </w:tcPr>
          <w:p>
            <w:pPr>
              <w:pStyle w:val="TableContents"/>
              <w:bidi w:val="0"/>
              <w:spacing w:before="0" w:after="283"/>
              <w:jc w:val="center"/>
              <w:rPr/>
            </w:pPr>
            <w:r>
              <w:rPr/>
              <w:t> </w:t>
            </w:r>
            <w:r>
              <w:rPr>
                <w:b/>
              </w:rPr>
              <w:t>2951 28th</w:t>
            </w:r>
            <w:r>
              <w:rPr/>
              <w:t> </w:t>
            </w:r>
            <w:r>
              <w:rPr>
                <w:b/>
              </w:rPr>
              <w:t>Street Santa Monica,</w:t>
            </w:r>
            <w:r>
              <w:rPr/>
              <w:t> </w:t>
            </w:r>
            <w:r>
              <w:rPr>
                <w:b/>
              </w:rPr>
              <w:t>California</w:t>
            </w:r>
          </w:p>
        </w:tc>
        <w:tc>
          <w:tcPr>
            <w:tcW w:w="90" w:type="dxa"/>
            <w:tcBorders/>
            <w:tcMar>
              <w:bottom w:w="0" w:type="dxa"/>
            </w:tcMar>
            <w:vAlign w:val="center"/>
          </w:tcPr>
          <w:p>
            <w:pPr>
              <w:pStyle w:val="TableContents"/>
              <w:bidi w:val="0"/>
              <w:spacing w:before="0" w:after="283"/>
              <w:jc w:val="center"/>
              <w:rPr/>
            </w:pPr>
            <w:r>
              <w:rPr/>
              <w:t> </w:t>
            </w:r>
          </w:p>
        </w:tc>
        <w:tc>
          <w:tcPr>
            <w:tcW w:w="980" w:type="dxa"/>
            <w:tcBorders>
              <w:bottom w:val="single" w:sz="8" w:space="0" w:color="000000"/>
            </w:tcBorders>
            <w:vAlign w:val="center"/>
          </w:tcPr>
          <w:p>
            <w:pPr>
              <w:pStyle w:val="TableContents"/>
              <w:bidi w:val="0"/>
              <w:spacing w:before="0" w:after="283"/>
              <w:jc w:val="center"/>
              <w:rPr/>
            </w:pPr>
            <w:r>
              <w:rPr/>
              <w:t> </w:t>
            </w:r>
            <w:r>
              <w:rPr>
                <w:b/>
                <w:sz w:val="20"/>
              </w:rPr>
              <w:t>90405</w:t>
            </w:r>
          </w:p>
        </w:tc>
      </w:tr>
      <w:tr>
        <w:trPr/>
        <w:tc>
          <w:tcPr>
            <w:tcW w:w="440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90" w:type="dxa"/>
            <w:tcBorders/>
            <w:tcMar>
              <w:bottom w:w="0" w:type="dxa"/>
            </w:tcMar>
            <w:vAlign w:val="center"/>
          </w:tcPr>
          <w:p>
            <w:pPr>
              <w:pStyle w:val="TableContents"/>
              <w:bidi w:val="0"/>
              <w:spacing w:before="0" w:after="283"/>
              <w:jc w:val="center"/>
              <w:rPr/>
            </w:pPr>
            <w:r>
              <w:rPr/>
              <w:t> </w:t>
            </w:r>
          </w:p>
        </w:tc>
        <w:tc>
          <w:tcPr>
            <w:tcW w:w="98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(424) 268-9444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“non-accelerated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95"/>
        <w:gridCol w:w="2525"/>
      </w:tblGrid>
      <w:tr>
        <w:trPr/>
        <w:tc>
          <w:tcPr>
            <w:tcW w:w="2495" w:type="dxa"/>
            <w:tcBorders/>
            <w:vAlign w:val="center"/>
          </w:tcPr>
          <w:p>
            <w:pPr>
              <w:pStyle w:val="TableContents"/>
              <w:bidi w:val="0"/>
              <w:spacing w:before="0" w:after="283"/>
              <w:jc w:val="left"/>
              <w:rPr>
                <w:sz w:val="20"/>
              </w:rPr>
            </w:pPr>
            <w:r>
              <w:rPr>
                <w:sz w:val="20"/>
              </w:rPr>
              <w:t>Large accelerated filer ☐</w:t>
            </w:r>
          </w:p>
        </w:tc>
        <w:tc>
          <w:tcPr>
            <w:tcW w:w="2525" w:type="dxa"/>
            <w:tcBorders/>
            <w:vAlign w:val="center"/>
          </w:tcPr>
          <w:p>
            <w:pPr>
              <w:pStyle w:val="TableContents"/>
              <w:bidi w:val="0"/>
              <w:spacing w:before="0" w:after="283"/>
              <w:jc w:val="left"/>
              <w:rPr>
                <w:sz w:val="20"/>
              </w:rPr>
            </w:pPr>
            <w:r>
              <w:rPr>
                <w:sz w:val="20"/>
              </w:rPr>
              <w:t>Accelerated filer ☒</w:t>
            </w:r>
          </w:p>
        </w:tc>
      </w:tr>
      <w:tr>
        <w:trPr/>
        <w:tc>
          <w:tcPr>
            <w:tcW w:w="2495" w:type="dxa"/>
            <w:tcBorders/>
            <w:vAlign w:val="center"/>
          </w:tcPr>
          <w:p>
            <w:pPr>
              <w:pStyle w:val="TableContents"/>
              <w:bidi w:val="0"/>
              <w:spacing w:before="0" w:after="283"/>
              <w:jc w:val="left"/>
              <w:rPr>
                <w:sz w:val="20"/>
              </w:rPr>
            </w:pPr>
            <w:r>
              <w:rPr>
                <w:sz w:val="20"/>
              </w:rPr>
              <w:t>Non-accelerated filer ☐</w:t>
            </w:r>
          </w:p>
        </w:tc>
        <w:tc>
          <w:tcPr>
            <w:tcW w:w="2525" w:type="dxa"/>
            <w:tcBorders/>
            <w:vAlign w:val="center"/>
          </w:tcPr>
          <w:p>
            <w:pPr>
              <w:pStyle w:val="TableContents"/>
              <w:bidi w:val="0"/>
              <w:spacing w:before="0" w:after="283"/>
              <w:jc w:val="both"/>
              <w:rPr>
                <w:sz w:val="20"/>
              </w:rPr>
            </w:pPr>
            <w:r>
              <w:rPr>
                <w:sz w:val="20"/>
              </w:rPr>
              <w:t>Smaller reporting company ☒</w:t>
            </w:r>
          </w:p>
        </w:tc>
      </w:tr>
      <w:tr>
        <w:trPr/>
        <w:tc>
          <w:tcPr>
            <w:tcW w:w="2495" w:type="dxa"/>
            <w:tcBorders/>
            <w:vAlign w:val="center"/>
          </w:tcPr>
          <w:p>
            <w:pPr>
              <w:pStyle w:val="TableContents"/>
              <w:bidi w:val="0"/>
              <w:spacing w:before="0" w:after="283"/>
              <w:jc w:val="left"/>
              <w:rPr>
                <w:sz w:val="20"/>
              </w:rPr>
            </w:pPr>
            <w:r>
              <w:rPr>
                <w:sz w:val="20"/>
              </w:rPr>
              <w:t>Emerging growth company ☐</w:t>
            </w:r>
          </w:p>
        </w:tc>
        <w:tc>
          <w:tcPr>
            <w:tcW w:w="25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28" w:type="dxa"/>
          <w:right w:w="0" w:type="dxa"/>
        </w:tblCellMar>
      </w:tblPr>
      <w:tblGrid>
        <w:gridCol w:w="2660"/>
        <w:gridCol w:w="90"/>
        <w:gridCol w:w="1640"/>
        <w:gridCol w:w="90"/>
        <w:gridCol w:w="3770"/>
      </w:tblGrid>
      <w:tr>
        <w:trPr/>
        <w:tc>
          <w:tcPr>
            <w:tcW w:w="266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64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9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660" w:type="dxa"/>
            <w:tcBorders/>
            <w:tcMar>
              <w:bottom w:w="0" w:type="dxa"/>
            </w:tcMar>
            <w:vAlign w:val="center"/>
          </w:tcPr>
          <w:p>
            <w:pPr>
              <w:pStyle w:val="TableContents"/>
              <w:bidi w:val="0"/>
              <w:spacing w:before="0" w:after="283"/>
              <w:jc w:val="center"/>
              <w:rPr>
                <w:sz w:val="20"/>
              </w:rPr>
            </w:pPr>
            <w:r>
              <w:rPr>
                <w:sz w:val="20"/>
              </w:rPr>
              <w:t>Common Stock $.001 Par Value</w:t>
            </w:r>
          </w:p>
        </w:tc>
        <w:tc>
          <w:tcPr>
            <w:tcW w:w="9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sz w:val="20"/>
              </w:rPr>
            </w:pPr>
            <w:r>
              <w:rPr>
                <w:sz w:val="20"/>
              </w:rPr>
              <w:t>JAKK</w:t>
            </w:r>
          </w:p>
        </w:tc>
        <w:tc>
          <w:tcPr>
            <w:tcW w:w="9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sz w:val="20"/>
              </w:rPr>
            </w:pPr>
            <w:r>
              <w:rPr>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the issuer’s common stock is 11,444,411 as of May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TO QUARTERLY REPORT ON 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 ENDED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ITEMS IN FORM 10-Q</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755"/>
        <w:gridCol w:w="7310"/>
        <w:gridCol w:w="530"/>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7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310" w:type="dxa"/>
            <w:tcBorders/>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Stockholders’ Equity</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310" w:type="dxa"/>
            <w:tcBorders/>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310" w:type="dxa"/>
            <w:tcBorders/>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310" w:type="dxa"/>
            <w:tcBorders/>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7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310" w:type="dxa"/>
            <w:tcBorders/>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Proceedings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310" w:type="dxa"/>
            <w:tcBorders/>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Risk Factors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Unregistered Sales of Equity Securities and Use of Proceeds</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Defaults Upon Senior Securities</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Mine Safety Disclosures</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3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w:t>
            </w:r>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r>
      <w:tr>
        <w:trPr/>
        <w:tc>
          <w:tcPr>
            <w:tcW w:w="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310" w:type="dxa"/>
            <w:tcBorders/>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Exhibits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Signatures</w:t>
              </w:r>
            </w:hyperlink>
          </w:p>
        </w:tc>
        <w:tc>
          <w:tcPr>
            <w:tcW w:w="53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8065" w:type="dxa"/>
            <w:gridSpan w:val="2"/>
            <w:tcBorders/>
            <w:vAlign w:val="center"/>
          </w:tcPr>
          <w:p>
            <w:pPr>
              <w:pStyle w:val="TableContents"/>
              <w:bidi w:val="0"/>
              <w:spacing w:before="0" w:after="283"/>
              <w:jc w:val="left"/>
              <w:rPr/>
            </w:pPr>
            <w:hyperlink w:anchor="jakkex31-1.htm">
              <w:r>
                <w:rPr>
                  <w:rStyle w:val="InternetLink"/>
                  <w:rFonts w:ascii="Times New Roman;Times;Serif" w:hAnsi="Times New Roman;Times;Serif"/>
                  <w:b w:val="false"/>
                  <w:i w:val="false"/>
                  <w:caps w:val="false"/>
                  <w:smallCaps w:val="false"/>
                  <w:sz w:val="20"/>
                </w:rPr>
                <w:t>Exhibit 31.1</w:t>
              </w:r>
            </w:hyperlink>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jakkex31-2.htm">
              <w:r>
                <w:rPr>
                  <w:rStyle w:val="InternetLink"/>
                  <w:rFonts w:ascii="Times New Roman;Times;Serif" w:hAnsi="Times New Roman;Times;Serif"/>
                  <w:b w:val="false"/>
                  <w:i w:val="false"/>
                  <w:caps w:val="false"/>
                  <w:smallCaps w:val="false"/>
                  <w:sz w:val="20"/>
                </w:rPr>
                <w:t>Exhibit 31.2</w:t>
              </w:r>
            </w:hyperlink>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jakkex32-1.htm">
              <w:r>
                <w:rPr>
                  <w:rStyle w:val="InternetLink"/>
                  <w:rFonts w:ascii="Times New Roman;Times;Serif" w:hAnsi="Times New Roman;Times;Serif"/>
                  <w:b w:val="false"/>
                  <w:i w:val="false"/>
                  <w:caps w:val="false"/>
                  <w:smallCaps w:val="false"/>
                  <w:sz w:val="20"/>
                </w:rPr>
                <w:t>Exhibit 32.1</w:t>
              </w:r>
            </w:hyperlink>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065" w:type="dxa"/>
            <w:gridSpan w:val="2"/>
            <w:tcBorders/>
            <w:vAlign w:val="center"/>
          </w:tcPr>
          <w:p>
            <w:pPr>
              <w:pStyle w:val="TableContents"/>
              <w:bidi w:val="0"/>
              <w:spacing w:before="0" w:after="283"/>
              <w:jc w:val="left"/>
              <w:rPr/>
            </w:pPr>
            <w:hyperlink w:anchor="jakkex32-2.htm">
              <w:r>
                <w:rPr>
                  <w:rStyle w:val="InternetLink"/>
                  <w:rFonts w:ascii="Times New Roman;Times;Serif" w:hAnsi="Times New Roman;Times;Serif"/>
                  <w:b w:val="false"/>
                  <w:i w:val="false"/>
                  <w:caps w:val="false"/>
                  <w:smallCaps w:val="false"/>
                  <w:sz w:val="20"/>
                </w:rPr>
                <w:t>Exhibit 32.2</w:t>
              </w:r>
            </w:hyperlink>
          </w:p>
        </w:tc>
        <w:tc>
          <w:tcPr>
            <w:tcW w:w="530"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a_001"/>
      <w:bookmarkEnd w:id="3"/>
      <w:r>
        <w:rPr>
          <w:rFonts w:ascii="Times New Roman;Times;Serif" w:hAnsi="Times New Roman;Times;Serif"/>
          <w:b/>
          <w:i w:val="false"/>
          <w:caps w:val="false"/>
          <w:smallCaps w:val="false"/>
          <w:sz w:val="20"/>
        </w:rPr>
        <w:t>PART I</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thousands, except share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82"/>
        <w:gridCol w:w="90"/>
        <w:gridCol w:w="176"/>
        <w:gridCol w:w="830"/>
        <w:gridCol w:w="110"/>
        <w:gridCol w:w="90"/>
        <w:gridCol w:w="207"/>
        <w:gridCol w:w="973"/>
        <w:gridCol w:w="147"/>
      </w:tblGrid>
      <w:tr>
        <w:trPr/>
        <w:tc>
          <w:tcPr>
            <w:tcW w:w="758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0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47" w:type="dxa"/>
            <w:tcBorders/>
            <w:vAlign w:val="center"/>
          </w:tcPr>
          <w:p>
            <w:pPr>
              <w:pStyle w:val="TableContents"/>
              <w:bidi w:val="0"/>
              <w:spacing w:before="0" w:after="283"/>
              <w:jc w:val="left"/>
              <w:rPr/>
            </w:pPr>
            <w:r>
              <w:rPr/>
              <w:t> </w:t>
            </w:r>
          </w:p>
        </w:tc>
      </w:tr>
      <w:tr>
        <w:trPr/>
        <w:tc>
          <w:tcPr>
            <w:tcW w:w="7582"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9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center"/>
              <w:rPr/>
            </w:pPr>
            <w:r>
              <w:rPr/>
              <w:t> </w:t>
            </w:r>
          </w:p>
        </w:tc>
        <w:tc>
          <w:tcPr>
            <w:tcW w:w="147" w:type="dxa"/>
            <w:tcBorders/>
            <w:vAlign w:val="center"/>
          </w:tcPr>
          <w:p>
            <w:pPr>
              <w:pStyle w:val="TableContents"/>
              <w:bidi w:val="0"/>
              <w:spacing w:before="0" w:after="283"/>
              <w:jc w:val="left"/>
              <w:rPr/>
            </w:pPr>
            <w:r>
              <w:rPr/>
              <w:t> </w:t>
            </w:r>
          </w:p>
        </w:tc>
      </w:tr>
      <w:tr>
        <w:trPr/>
        <w:tc>
          <w:tcPr>
            <w:tcW w:w="75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90" w:type="dxa"/>
            <w:tcBorders/>
            <w:vAlign w:val="center"/>
          </w:tcPr>
          <w:p>
            <w:pPr>
              <w:pStyle w:val="TableContents"/>
              <w:bidi w:val="0"/>
              <w:spacing w:before="0" w:after="283"/>
              <w:jc w:val="left"/>
              <w:rPr/>
            </w:pPr>
            <w:r>
              <w:rPr/>
              <w:t> </w:t>
            </w:r>
          </w:p>
        </w:tc>
        <w:tc>
          <w:tcPr>
            <w:tcW w:w="100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62,849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52,197</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1,869</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of allowance for credit losses of $4,956 and $5,103 at March 31, 2026 and December 31, 2025, respectively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93,244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138,341</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net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52,854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59,805</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16,873</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228,828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269,085</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and equipment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10,669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10,189</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Molds and tooling</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138,625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134,771</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7,264</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156,576</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152,224</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 and amortization</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135,162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133,216</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19,008</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43,869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46,776</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2,682</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 net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69,578</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69,569</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34,970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35,077</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400,446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442,197</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5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39,964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55,558</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43,076</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for sales returns and allowances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26,737</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33,569</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2,119</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operating lease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14,115</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13,784</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117,034</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148,106</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operating lease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35,913</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39,578</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 long term</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4,555</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4,463</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158,462</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193,092</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5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73"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 100,000,000 shares authorized; 11,444,411 and 11,342,981 shares issued and outstanding at March 31, 2026 and December 31, 2025, respectively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vAlign w:val="center"/>
          </w:tcPr>
          <w:p>
            <w:pPr>
              <w:pStyle w:val="TableContents"/>
              <w:bidi w:val="0"/>
              <w:spacing w:before="0" w:after="283"/>
              <w:jc w:val="left"/>
              <w:rPr>
                <w:caps w:val="false"/>
                <w:smallCaps w:val="false"/>
              </w:rPr>
            </w:pPr>
            <w:r>
              <w:rPr>
                <w:caps w:val="false"/>
                <w:smallCaps w:val="false"/>
              </w:rPr>
              <w:t> </w:t>
            </w:r>
          </w:p>
        </w:tc>
        <w:tc>
          <w:tcPr>
            <w:tcW w:w="83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304,229</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caps w:val="false"/>
                <w:smallCaps w:val="false"/>
              </w:rPr>
            </w:pPr>
            <w:r>
              <w:rPr>
                <w:caps w:val="false"/>
                <w:smallCaps w:val="false"/>
              </w:rPr>
              <w:t> </w:t>
            </w:r>
          </w:p>
        </w:tc>
        <w:tc>
          <w:tcPr>
            <w:tcW w:w="973"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302,408</w:t>
            </w:r>
          </w:p>
        </w:tc>
        <w:tc>
          <w:tcPr>
            <w:tcW w:w="14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(48,162</w:t>
            </w:r>
          </w:p>
        </w:tc>
        <w:tc>
          <w:tcPr>
            <w:tcW w:w="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(41,021</w:t>
            </w:r>
          </w:p>
        </w:tc>
        <w:tc>
          <w:tcPr>
            <w:tcW w:w="14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(14,094</w:t>
            </w:r>
          </w:p>
        </w:tc>
        <w:tc>
          <w:tcPr>
            <w:tcW w:w="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(12,293</w:t>
            </w:r>
          </w:p>
        </w:tc>
        <w:tc>
          <w:tcPr>
            <w:tcW w:w="147" w:type="dxa"/>
            <w:tcBorders/>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241,984</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249,105</w:t>
            </w:r>
          </w:p>
        </w:tc>
        <w:tc>
          <w:tcPr>
            <w:tcW w:w="14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5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stockholders’ equity</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400,446</w:t>
            </w:r>
          </w:p>
        </w:tc>
        <w:tc>
          <w:tcPr>
            <w:tcW w:w="11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442,197</w:t>
            </w:r>
          </w:p>
        </w:tc>
        <w:tc>
          <w:tcPr>
            <w:tcW w:w="147"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w:t>
        <w:b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4550"/>
        <w:gridCol w:w="90"/>
        <w:gridCol w:w="171"/>
        <w:gridCol w:w="839"/>
        <w:gridCol w:w="126"/>
        <w:gridCol w:w="91"/>
        <w:gridCol w:w="171"/>
        <w:gridCol w:w="839"/>
        <w:gridCol w:w="170"/>
      </w:tblGrid>
      <w:tr>
        <w:trPr/>
        <w:tc>
          <w:tcPr>
            <w:tcW w:w="4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 xml:space="preserve">March 31, </w:t>
              <w:br/>
              <w:t>(Unaudited)</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106,676</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113,253</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Cost of goods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52,187</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54,626</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Royalty expense</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16,913</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18,168</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Amortization of tools and molds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1,970</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1,446</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tcMar>
              <w:bottom w:w="28" w:type="dxa"/>
            </w:tcMar>
            <w:vAlign w:val="center"/>
          </w:tcPr>
          <w:p>
            <w:pPr>
              <w:pStyle w:val="TableContents"/>
              <w:bidi w:val="0"/>
              <w:spacing w:before="0" w:after="283"/>
              <w:jc w:val="right"/>
              <w:rPr/>
            </w:pPr>
            <w:r>
              <w:rPr/>
              <w:t>71,070</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tcMar>
              <w:bottom w:w="28" w:type="dxa"/>
            </w:tcMar>
            <w:vAlign w:val="center"/>
          </w:tcPr>
          <w:p>
            <w:pPr>
              <w:pStyle w:val="TableContents"/>
              <w:bidi w:val="0"/>
              <w:spacing w:before="0" w:after="283"/>
              <w:jc w:val="right"/>
              <w:rPr/>
            </w:pPr>
            <w:r>
              <w:rPr/>
              <w:t>74,240</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35,606</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39,013</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Direct selling expenses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8,164</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8,696</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32,864</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33,961</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tcMar>
              <w:bottom w:w="28" w:type="dxa"/>
            </w:tcMar>
            <w:vAlign w:val="center"/>
          </w:tcPr>
          <w:p>
            <w:pPr>
              <w:pStyle w:val="TableContents"/>
              <w:bidi w:val="0"/>
              <w:spacing w:before="0" w:after="283"/>
              <w:jc w:val="right"/>
              <w:rPr/>
            </w:pPr>
            <w:r>
              <w:rPr/>
              <w:t>152</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tcMar>
              <w:bottom w:w="28" w:type="dxa"/>
            </w:tcMar>
            <w:vAlign w:val="center"/>
          </w:tcPr>
          <w:p>
            <w:pPr>
              <w:pStyle w:val="TableContents"/>
              <w:bidi w:val="0"/>
              <w:spacing w:before="0" w:after="283"/>
              <w:jc w:val="right"/>
              <w:rPr/>
            </w:pPr>
            <w:r>
              <w:rPr/>
              <w:t>113</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41,180</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42,770</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(5,574</w:t>
            </w:r>
          </w:p>
        </w:tc>
        <w:tc>
          <w:tcPr>
            <w:tcW w:w="126"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(3,757</w:t>
            </w:r>
          </w:p>
        </w:tc>
        <w:tc>
          <w:tcPr>
            <w:tcW w:w="17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25</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5</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480</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362</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(60</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(155</w:t>
            </w:r>
          </w:p>
        </w:tc>
        <w:tc>
          <w:tcPr>
            <w:tcW w:w="17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Loss before benefit from income taxes</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(5,129</w:t>
            </w:r>
          </w:p>
        </w:tc>
        <w:tc>
          <w:tcPr>
            <w:tcW w:w="126"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(3,545</w:t>
            </w:r>
          </w:p>
        </w:tc>
        <w:tc>
          <w:tcPr>
            <w:tcW w:w="17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Benefit from income taxes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(849</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(1,163</w:t>
            </w:r>
          </w:p>
        </w:tc>
        <w:tc>
          <w:tcPr>
            <w:tcW w:w="17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1" w:type="dxa"/>
            <w:tcBorders>
              <w:bottom w:val="double" w:sz="6" w:space="0" w:color="000000"/>
            </w:tcBorders>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tcMar>
              <w:bottom w:w="28" w:type="dxa"/>
            </w:tcMar>
            <w:vAlign w:val="center"/>
          </w:tcPr>
          <w:p>
            <w:pPr>
              <w:pStyle w:val="TableContents"/>
              <w:bidi w:val="0"/>
              <w:spacing w:before="0" w:after="283"/>
              <w:jc w:val="right"/>
              <w:rPr/>
            </w:pPr>
            <w:r>
              <w:rPr/>
              <w:t>(4,280</w:t>
            </w:r>
          </w:p>
        </w:tc>
        <w:tc>
          <w:tcPr>
            <w:tcW w:w="126" w:type="dxa"/>
            <w:tcBorders/>
            <w:vAlign w:val="center"/>
          </w:tcPr>
          <w:p>
            <w:pPr>
              <w:pStyle w:val="TableContents"/>
              <w:bidi w:val="0"/>
              <w:spacing w:before="0" w:after="283"/>
              <w:jc w:val="left"/>
              <w:rPr/>
            </w:pPr>
            <w:r>
              <w:rPr/>
              <w:t>)</w:t>
            </w:r>
          </w:p>
        </w:tc>
        <w:tc>
          <w:tcPr>
            <w:tcW w:w="91" w:type="dxa"/>
            <w:tcBorders/>
            <w:vAlign w:val="center"/>
          </w:tcPr>
          <w:p>
            <w:pPr>
              <w:pStyle w:val="TableContents"/>
              <w:bidi w:val="0"/>
              <w:spacing w:before="0" w:after="283"/>
              <w:jc w:val="left"/>
              <w:rPr/>
            </w:pPr>
            <w:r>
              <w:rPr/>
              <w:t> </w:t>
            </w:r>
          </w:p>
        </w:tc>
        <w:tc>
          <w:tcPr>
            <w:tcW w:w="171" w:type="dxa"/>
            <w:tcBorders>
              <w:bottom w:val="double" w:sz="6" w:space="0" w:color="000000"/>
            </w:tcBorders>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tcMar>
              <w:bottom w:w="28" w:type="dxa"/>
            </w:tcMar>
            <w:vAlign w:val="center"/>
          </w:tcPr>
          <w:p>
            <w:pPr>
              <w:pStyle w:val="TableContents"/>
              <w:bidi w:val="0"/>
              <w:spacing w:before="0" w:after="283"/>
              <w:jc w:val="right"/>
              <w:rPr/>
            </w:pPr>
            <w:r>
              <w:rPr/>
              <w:t>(2,382</w:t>
            </w:r>
          </w:p>
        </w:tc>
        <w:tc>
          <w:tcPr>
            <w:tcW w:w="170" w:type="dxa"/>
            <w:tcBorders/>
            <w:vAlign w:val="center"/>
          </w:tcPr>
          <w:p>
            <w:pPr>
              <w:pStyle w:val="TableContents"/>
              <w:bidi w:val="0"/>
              <w:spacing w:before="0" w:after="283"/>
              <w:jc w:val="left"/>
              <w:rPr/>
            </w:pPr>
            <w:r>
              <w:rPr/>
              <w:t>)</w:t>
            </w:r>
          </w:p>
        </w:tc>
      </w:tr>
      <w:tr>
        <w:trPr/>
        <w:tc>
          <w:tcPr>
            <w:tcW w:w="4550" w:type="dxa"/>
            <w:tcBorders/>
            <w:shd w:fill="CCEEFF" w:val="clear"/>
            <w:vAlign w:val="center"/>
          </w:tcPr>
          <w:p>
            <w:pPr>
              <w:pStyle w:val="TableContents"/>
              <w:bidi w:val="0"/>
              <w:spacing w:before="0" w:after="283"/>
              <w:jc w:val="left"/>
              <w:rPr/>
            </w:pPr>
            <w:r>
              <w:rPr/>
              <w:t>Loss per share - basic and diluted</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170" w:type="dxa"/>
            <w:tcBorders/>
            <w:shd w:fill="CCEEFF" w:val="clear"/>
            <w:vAlign w:val="center"/>
          </w:tcPr>
          <w:p>
            <w:pPr>
              <w:pStyle w:val="TableContents"/>
              <w:bidi w:val="0"/>
              <w:spacing w:before="0" w:after="283"/>
              <w:jc w:val="left"/>
              <w:rPr/>
            </w:pPr>
            <w:r>
              <w:rPr/>
              <w:t>)</w:t>
            </w:r>
          </w:p>
        </w:tc>
      </w:tr>
      <w:tr>
        <w:trPr/>
        <w:tc>
          <w:tcPr>
            <w:tcW w:w="4550" w:type="dxa"/>
            <w:tcBorders/>
            <w:vAlign w:val="center"/>
          </w:tcPr>
          <w:p>
            <w:pPr>
              <w:pStyle w:val="TableContents"/>
              <w:bidi w:val="0"/>
              <w:spacing w:before="0" w:after="283"/>
              <w:jc w:val="left"/>
              <w:rPr/>
            </w:pPr>
            <w:r>
              <w:rPr/>
              <w:t>Shares used in loss per share - basic and diluted</w:t>
            </w:r>
          </w:p>
        </w:tc>
        <w:tc>
          <w:tcPr>
            <w:tcW w:w="90" w:type="dxa"/>
            <w:tcBorders/>
            <w:vAlign w:val="center"/>
          </w:tcPr>
          <w:p>
            <w:pPr>
              <w:pStyle w:val="TableContents"/>
              <w:bidi w:val="0"/>
              <w:spacing w:before="0" w:after="283"/>
              <w:jc w:val="left"/>
              <w:rPr/>
            </w:pPr>
            <w:r>
              <w:rPr/>
              <w:t> </w:t>
            </w:r>
          </w:p>
        </w:tc>
        <w:tc>
          <w:tcPr>
            <w:tcW w:w="171" w:type="dxa"/>
            <w:tcBorders>
              <w:bottom w:val="double" w:sz="6" w:space="0" w:color="000000"/>
            </w:tcBorders>
            <w:tcMar>
              <w:bottom w:w="28" w:type="dxa"/>
            </w:tcMar>
            <w:vAlign w:val="center"/>
          </w:tcPr>
          <w:p>
            <w:pPr>
              <w:pStyle w:val="TableContents"/>
              <w:bidi w:val="0"/>
              <w:spacing w:before="0" w:after="283"/>
              <w:jc w:val="left"/>
              <w:rPr/>
            </w:pPr>
            <w:r>
              <w:rPr/>
              <w:t> </w:t>
            </w:r>
          </w:p>
        </w:tc>
        <w:tc>
          <w:tcPr>
            <w:tcW w:w="839" w:type="dxa"/>
            <w:tcBorders>
              <w:bottom w:val="double" w:sz="6" w:space="0" w:color="000000"/>
            </w:tcBorders>
            <w:tcMar>
              <w:bottom w:w="28" w:type="dxa"/>
            </w:tcMar>
            <w:vAlign w:val="center"/>
          </w:tcPr>
          <w:p>
            <w:pPr>
              <w:pStyle w:val="TableContents"/>
              <w:bidi w:val="0"/>
              <w:spacing w:before="0" w:after="283"/>
              <w:jc w:val="right"/>
              <w:rPr/>
            </w:pPr>
            <w:r>
              <w:rPr/>
              <w:t>11,444</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71" w:type="dxa"/>
            <w:tcBorders>
              <w:bottom w:val="double" w:sz="6" w:space="0" w:color="000000"/>
            </w:tcBorders>
            <w:tcMar>
              <w:bottom w:w="28" w:type="dxa"/>
            </w:tcMar>
            <w:vAlign w:val="center"/>
          </w:tcPr>
          <w:p>
            <w:pPr>
              <w:pStyle w:val="TableContents"/>
              <w:bidi w:val="0"/>
              <w:spacing w:before="0" w:after="283"/>
              <w:jc w:val="left"/>
              <w:rPr/>
            </w:pPr>
            <w:r>
              <w:rPr/>
              <w:t> </w:t>
            </w:r>
          </w:p>
        </w:tc>
        <w:tc>
          <w:tcPr>
            <w:tcW w:w="839" w:type="dxa"/>
            <w:tcBorders>
              <w:bottom w:val="double" w:sz="6" w:space="0" w:color="000000"/>
            </w:tcBorders>
            <w:tcMar>
              <w:bottom w:w="28" w:type="dxa"/>
            </w:tcMar>
            <w:vAlign w:val="center"/>
          </w:tcPr>
          <w:p>
            <w:pPr>
              <w:pStyle w:val="TableContents"/>
              <w:bidi w:val="0"/>
              <w:spacing w:before="0" w:after="283"/>
              <w:jc w:val="right"/>
              <w:rPr/>
            </w:pPr>
            <w:r>
              <w:rPr/>
              <w:t>11,146</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left"/>
              <w:rPr/>
            </w:pPr>
            <w:r>
              <w:rPr/>
              <w:t>Comprehensive loss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pPr>
            <w:r>
              <w:rPr/>
              <w:t>(6,081</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CCEEFF" w:val="clear"/>
            <w:tcMar>
              <w:bottom w:w="28" w:type="dxa"/>
            </w:tcMar>
            <w:vAlign w:val="center"/>
          </w:tcPr>
          <w:p>
            <w:pPr>
              <w:pStyle w:val="TableContents"/>
              <w:bidi w:val="0"/>
              <w:spacing w:before="0" w:after="283"/>
              <w:jc w:val="right"/>
              <w:rPr/>
            </w:pPr>
            <w:r>
              <w:rPr/>
              <w:t>(1,754</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1940" w:type="dxa"/>
        <w:jc w:val="left"/>
        <w:tblInd w:w="0" w:type="dxa"/>
        <w:tblLayout w:type="fixed"/>
        <w:tblCellMar>
          <w:top w:w="0" w:type="dxa"/>
          <w:left w:w="0" w:type="dxa"/>
          <w:bottom w:w="0" w:type="dxa"/>
          <w:right w:w="0" w:type="dxa"/>
        </w:tblCellMar>
      </w:tblPr>
      <w:tblGrid>
        <w:gridCol w:w="1370"/>
        <w:gridCol w:w="90"/>
        <w:gridCol w:w="367"/>
        <w:gridCol w:w="628"/>
        <w:gridCol w:w="90"/>
        <w:gridCol w:w="90"/>
        <w:gridCol w:w="192"/>
        <w:gridCol w:w="938"/>
        <w:gridCol w:w="125"/>
        <w:gridCol w:w="90"/>
        <w:gridCol w:w="249"/>
        <w:gridCol w:w="1151"/>
        <w:gridCol w:w="125"/>
        <w:gridCol w:w="90"/>
        <w:gridCol w:w="291"/>
        <w:gridCol w:w="1349"/>
        <w:gridCol w:w="125"/>
        <w:gridCol w:w="90"/>
        <w:gridCol w:w="232"/>
        <w:gridCol w:w="1138"/>
        <w:gridCol w:w="125"/>
        <w:gridCol w:w="90"/>
        <w:gridCol w:w="450"/>
        <w:gridCol w:w="770"/>
        <w:gridCol w:w="90"/>
        <w:gridCol w:w="90"/>
        <w:gridCol w:w="232"/>
        <w:gridCol w:w="1138"/>
        <w:gridCol w:w="135"/>
      </w:tblGrid>
      <w:tr>
        <w:trPr/>
        <w:tc>
          <w:tcPr>
            <w:tcW w:w="11940" w:type="dxa"/>
            <w:gridSpan w:val="29"/>
            <w:tcBorders/>
            <w:vAlign w:val="center"/>
          </w:tcPr>
          <w:p>
            <w:pPr>
              <w:pStyle w:val="TableContents"/>
              <w:bidi w:val="0"/>
              <w:spacing w:before="0" w:after="283"/>
              <w:jc w:val="center"/>
              <w:rPr>
                <w:b/>
              </w:rPr>
            </w:pPr>
            <w:r>
              <w:rPr>
                <w:b/>
              </w:rPr>
              <w:t>Three Months Ended March 31, 2026</w:t>
            </w:r>
          </w:p>
        </w:tc>
      </w:tr>
      <w:tr>
        <w:trPr/>
        <w:tc>
          <w:tcPr>
            <w:tcW w:w="11940" w:type="dxa"/>
            <w:gridSpan w:val="29"/>
            <w:tcBorders>
              <w:bottom w:val="single" w:sz="8" w:space="0" w:color="000000"/>
            </w:tcBorders>
            <w:tcMar>
              <w:bottom w:w="28" w:type="dxa"/>
            </w:tcMar>
            <w:vAlign w:val="center"/>
          </w:tcPr>
          <w:p>
            <w:pPr>
              <w:pStyle w:val="TableContents"/>
              <w:bidi w:val="0"/>
              <w:spacing w:before="0" w:after="283"/>
              <w:jc w:val="center"/>
              <w:rPr>
                <w:b/>
              </w:rPr>
            </w:pPr>
            <w:r>
              <w:rPr>
                <w:b/>
              </w:rPr>
              <w:t>(Unaudited)</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JAKKS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Pacific, Inc.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Controlling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December 31, 2025</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302,408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(41,021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(12,293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249,105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249,105</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3,081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3,081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3,081</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(1,260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Cash dividend declared, $0.25 per share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(2,861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(2,861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(2,861</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(4,280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(4,280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5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(4,280</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bottom w:val="single" w:sz="8" w:space="0" w:color="000000"/>
            </w:tcBorders>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tcMar>
              <w:bottom w:w="28" w:type="dxa"/>
            </w:tcMar>
            <w:vAlign w:val="center"/>
          </w:tcPr>
          <w:p>
            <w:pPr>
              <w:pStyle w:val="TableContents"/>
              <w:bidi w:val="0"/>
              <w:spacing w:before="0" w:after="283"/>
              <w:jc w:val="right"/>
              <w:rPr/>
            </w:pPr>
            <w:r>
              <w:rPr/>
              <w:t>(1,801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(1,801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50" w:type="dxa"/>
            <w:tcBorders>
              <w:bottom w:val="single" w:sz="8" w:space="0" w:color="000000"/>
            </w:tcBorders>
            <w:tcMar>
              <w:bottom w:w="28" w:type="dxa"/>
            </w:tcMar>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(1,801</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Balance, March 31, 2026</w:t>
            </w:r>
          </w:p>
        </w:tc>
        <w:tc>
          <w:tcPr>
            <w:tcW w:w="90" w:type="dxa"/>
            <w:tcBorders/>
            <w:shd w:fill="CCEEFF" w:val="clear"/>
            <w:vAlign w:val="center"/>
          </w:tcPr>
          <w:p>
            <w:pPr>
              <w:pStyle w:val="TableContents"/>
              <w:bidi w:val="0"/>
              <w:spacing w:before="0" w:after="283"/>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304,229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(48,162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9" w:type="dxa"/>
            <w:tcBorders>
              <w:bottom w:val="double" w:sz="6" w:space="0" w:color="000000"/>
            </w:tcBorders>
            <w:shd w:fill="CCEEFF" w:val="clear"/>
            <w:tcMar>
              <w:bottom w:w="28" w:type="dxa"/>
            </w:tcMar>
            <w:vAlign w:val="center"/>
          </w:tcPr>
          <w:p>
            <w:pPr>
              <w:pStyle w:val="TableContents"/>
              <w:bidi w:val="0"/>
              <w:spacing w:before="0" w:after="283"/>
              <w:jc w:val="right"/>
              <w:rPr/>
            </w:pPr>
            <w:r>
              <w:rPr/>
              <w:t>(14,094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241,984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5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241,984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1940" w:type="dxa"/>
        <w:jc w:val="left"/>
        <w:tblInd w:w="0" w:type="dxa"/>
        <w:tblLayout w:type="fixed"/>
        <w:tblCellMar>
          <w:top w:w="0" w:type="dxa"/>
          <w:left w:w="0" w:type="dxa"/>
          <w:bottom w:w="0" w:type="dxa"/>
          <w:right w:w="0" w:type="dxa"/>
        </w:tblCellMar>
      </w:tblPr>
      <w:tblGrid>
        <w:gridCol w:w="1370"/>
        <w:gridCol w:w="90"/>
        <w:gridCol w:w="367"/>
        <w:gridCol w:w="628"/>
        <w:gridCol w:w="90"/>
        <w:gridCol w:w="90"/>
        <w:gridCol w:w="192"/>
        <w:gridCol w:w="938"/>
        <w:gridCol w:w="125"/>
        <w:gridCol w:w="90"/>
        <w:gridCol w:w="249"/>
        <w:gridCol w:w="1151"/>
        <w:gridCol w:w="125"/>
        <w:gridCol w:w="90"/>
        <w:gridCol w:w="291"/>
        <w:gridCol w:w="1349"/>
        <w:gridCol w:w="125"/>
        <w:gridCol w:w="90"/>
        <w:gridCol w:w="232"/>
        <w:gridCol w:w="1138"/>
        <w:gridCol w:w="125"/>
        <w:gridCol w:w="90"/>
        <w:gridCol w:w="357"/>
        <w:gridCol w:w="863"/>
        <w:gridCol w:w="90"/>
        <w:gridCol w:w="90"/>
        <w:gridCol w:w="232"/>
        <w:gridCol w:w="1138"/>
        <w:gridCol w:w="135"/>
      </w:tblGrid>
      <w:tr>
        <w:trPr/>
        <w:tc>
          <w:tcPr>
            <w:tcW w:w="11940" w:type="dxa"/>
            <w:gridSpan w:val="29"/>
            <w:tcBorders/>
            <w:vAlign w:val="center"/>
          </w:tcPr>
          <w:p>
            <w:pPr>
              <w:pStyle w:val="TableContents"/>
              <w:bidi w:val="0"/>
              <w:spacing w:before="0" w:after="283"/>
              <w:jc w:val="center"/>
              <w:rPr>
                <w:b/>
              </w:rPr>
            </w:pPr>
            <w:r>
              <w:rPr>
                <w:b/>
              </w:rPr>
              <w:t>Three Months Ended March 31, 2025</w:t>
            </w:r>
          </w:p>
        </w:tc>
      </w:tr>
      <w:tr>
        <w:trPr/>
        <w:tc>
          <w:tcPr>
            <w:tcW w:w="11940" w:type="dxa"/>
            <w:gridSpan w:val="29"/>
            <w:tcBorders>
              <w:bottom w:val="single" w:sz="8" w:space="0" w:color="000000"/>
            </w:tcBorders>
            <w:tcMar>
              <w:bottom w:w="28" w:type="dxa"/>
            </w:tcMar>
            <w:vAlign w:val="center"/>
          </w:tcPr>
          <w:p>
            <w:pPr>
              <w:pStyle w:val="TableContents"/>
              <w:bidi w:val="0"/>
              <w:spacing w:before="0" w:after="283"/>
              <w:jc w:val="center"/>
              <w:rPr>
                <w:b/>
              </w:rPr>
            </w:pPr>
            <w:r>
              <w:rPr>
                <w:b/>
              </w:rPr>
              <w:t>(Unaudited)</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JAKKS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Pacific, Inc.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center"/>
              <w:rPr>
                <w:b/>
              </w:rPr>
            </w:pPr>
            <w:r>
              <w:rPr>
                <w:b/>
              </w:rPr>
              <w:t>Comprehensive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Controlling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Stockholders’</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Interests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December 31, 2024</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628" w:type="dxa"/>
            <w:tcBorders/>
            <w:shd w:fill="CCEEFF" w:val="cle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297,198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1151" w:type="dxa"/>
            <w:tcBorders/>
            <w:shd w:fill="CCEEFF" w:val="clear"/>
            <w:vAlign w:val="center"/>
          </w:tcPr>
          <w:p>
            <w:pPr>
              <w:pStyle w:val="TableContents"/>
              <w:bidi w:val="0"/>
              <w:spacing w:before="0" w:after="283"/>
              <w:jc w:val="right"/>
              <w:rPr/>
            </w:pPr>
            <w:r>
              <w:rPr/>
              <w:t>(39,692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(17,184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240,333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w:t>
            </w:r>
          </w:p>
        </w:tc>
        <w:tc>
          <w:tcPr>
            <w:tcW w:w="863" w:type="dxa"/>
            <w:tcBorders/>
            <w:shd w:fill="CCEEFF" w:val="cle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138" w:type="dxa"/>
            <w:tcBorders/>
            <w:shd w:fill="CCEEFF" w:val="clear"/>
            <w:vAlign w:val="center"/>
          </w:tcPr>
          <w:p>
            <w:pPr>
              <w:pStyle w:val="TableContents"/>
              <w:bidi w:val="0"/>
              <w:spacing w:before="0" w:after="283"/>
              <w:jc w:val="right"/>
              <w:rPr/>
            </w:pPr>
            <w:r>
              <w:rPr/>
              <w:t>240,833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2,552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2,552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2,552</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(3,819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(3,819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(3,819</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Cash dividend declared, $0.25 per share</w:t>
            </w:r>
          </w:p>
        </w:tc>
        <w:tc>
          <w:tcPr>
            <w:tcW w:w="90"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1151"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(2,786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c>
          <w:tcPr>
            <w:tcW w:w="86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1138" w:type="dxa"/>
            <w:tcBorders/>
            <w:vAlign w:val="center"/>
          </w:tcPr>
          <w:p>
            <w:pPr>
              <w:pStyle w:val="TableContents"/>
              <w:bidi w:val="0"/>
              <w:spacing w:before="0" w:after="283"/>
              <w:jc w:val="right"/>
              <w:rPr/>
            </w:pPr>
            <w:r>
              <w:rPr/>
              <w:t>(2,786</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(2,382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57"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38" w:type="dxa"/>
            <w:tcBorders/>
            <w:shd w:fill="CCEEFF" w:val="clear"/>
            <w:vAlign w:val="center"/>
          </w:tcPr>
          <w:p>
            <w:pPr>
              <w:pStyle w:val="TableContents"/>
              <w:bidi w:val="0"/>
              <w:spacing w:before="0" w:after="283"/>
              <w:jc w:val="right"/>
              <w:rPr/>
            </w:pPr>
            <w:r>
              <w:rPr/>
              <w:t>(2,382</w:t>
            </w:r>
          </w:p>
        </w:tc>
        <w:tc>
          <w:tcPr>
            <w:tcW w:w="135" w:type="dxa"/>
            <w:tcBorders/>
            <w:shd w:fill="CCEEFF" w:val="clear"/>
            <w:vAlign w:val="center"/>
          </w:tcPr>
          <w:p>
            <w:pPr>
              <w:pStyle w:val="TableContents"/>
              <w:bidi w:val="0"/>
              <w:spacing w:before="0" w:after="283"/>
              <w:ind w:left="0" w:right="0" w:hanging="180"/>
              <w:jc w:val="left"/>
              <w:rPr/>
            </w:pPr>
            <w:r>
              <w:rPr/>
              <w:t>)</w:t>
            </w:r>
          </w:p>
        </w:tc>
      </w:tr>
      <w:tr>
        <w:trPr/>
        <w:tc>
          <w:tcPr>
            <w:tcW w:w="1370" w:type="dxa"/>
            <w:tcBorders/>
            <w:vAlign w:val="center"/>
          </w:tcPr>
          <w:p>
            <w:pPr>
              <w:pStyle w:val="TableContents"/>
              <w:bidi w:val="0"/>
              <w:spacing w:before="0" w:after="283"/>
              <w:jc w:val="left"/>
              <w:rPr/>
            </w:pPr>
            <w:r>
              <w:rPr/>
              <w:t>Foreign currency translation adjustment</w:t>
            </w:r>
          </w:p>
        </w:tc>
        <w:tc>
          <w:tcPr>
            <w:tcW w:w="90" w:type="dxa"/>
            <w:tcBorders/>
            <w:vAlign w:val="center"/>
          </w:tcPr>
          <w:p>
            <w:pPr>
              <w:pStyle w:val="TableContents"/>
              <w:bidi w:val="0"/>
              <w:spacing w:before="0" w:after="283"/>
              <w:jc w:val="left"/>
              <w:rPr/>
            </w:pPr>
            <w:r>
              <w:rPr/>
              <w:t> </w:t>
            </w:r>
          </w:p>
        </w:tc>
        <w:tc>
          <w:tcPr>
            <w:tcW w:w="367" w:type="dxa"/>
            <w:tcBorders>
              <w:bottom w:val="single" w:sz="8" w:space="0" w:color="000000"/>
            </w:tcBorders>
            <w:tcMar>
              <w:bottom w:w="28" w:type="dxa"/>
            </w:tcMar>
            <w:vAlign w:val="center"/>
          </w:tcPr>
          <w:p>
            <w:pPr>
              <w:pStyle w:val="TableContents"/>
              <w:bidi w:val="0"/>
              <w:spacing w:before="0" w:after="283"/>
              <w:jc w:val="left"/>
              <w:rPr/>
            </w:pPr>
            <w:r>
              <w:rPr/>
              <w:t> </w:t>
            </w:r>
          </w:p>
        </w:tc>
        <w:tc>
          <w:tcPr>
            <w:tcW w:w="628"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single" w:sz="8" w:space="0" w:color="000000"/>
            </w:tcBorders>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9" w:type="dxa"/>
            <w:tcBorders>
              <w:bottom w:val="single" w:sz="8" w:space="0" w:color="000000"/>
            </w:tcBorders>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1" w:type="dxa"/>
            <w:tcBorders>
              <w:bottom w:val="single" w:sz="8" w:space="0" w:color="000000"/>
            </w:tcBorders>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tcMar>
              <w:bottom w:w="28" w:type="dxa"/>
            </w:tcMar>
            <w:vAlign w:val="center"/>
          </w:tcPr>
          <w:p>
            <w:pPr>
              <w:pStyle w:val="TableContents"/>
              <w:bidi w:val="0"/>
              <w:spacing w:before="0" w:after="283"/>
              <w:jc w:val="right"/>
              <w:rPr/>
            </w:pPr>
            <w:r>
              <w:rPr/>
              <w:t>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628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 w:type="dxa"/>
            <w:tcBorders>
              <w:bottom w:val="single" w:sz="8" w:space="0" w:color="000000"/>
            </w:tcBorders>
            <w:tcMar>
              <w:bottom w:w="28" w:type="dxa"/>
            </w:tcMar>
            <w:vAlign w:val="center"/>
          </w:tcPr>
          <w:p>
            <w:pPr>
              <w:pStyle w:val="TableContents"/>
              <w:bidi w:val="0"/>
              <w:spacing w:before="0" w:after="283"/>
              <w:jc w:val="left"/>
              <w:rPr/>
            </w:pPr>
            <w:r>
              <w:rPr/>
              <w:t> </w:t>
            </w:r>
          </w:p>
        </w:tc>
        <w:tc>
          <w:tcPr>
            <w:tcW w:w="863"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2" w:type="dxa"/>
            <w:tcBorders>
              <w:bottom w:val="single" w:sz="8" w:space="0" w:color="000000"/>
            </w:tcBorders>
            <w:tcMar>
              <w:bottom w:w="28" w:type="dxa"/>
            </w:tcMar>
            <w:vAlign w:val="center"/>
          </w:tcPr>
          <w:p>
            <w:pPr>
              <w:pStyle w:val="TableContents"/>
              <w:bidi w:val="0"/>
              <w:spacing w:before="0" w:after="283"/>
              <w:jc w:val="left"/>
              <w:rPr/>
            </w:pPr>
            <w:r>
              <w:rPr/>
              <w:t> </w:t>
            </w:r>
          </w:p>
        </w:tc>
        <w:tc>
          <w:tcPr>
            <w:tcW w:w="1138" w:type="dxa"/>
            <w:tcBorders>
              <w:bottom w:val="single" w:sz="8" w:space="0" w:color="000000"/>
            </w:tcBorders>
            <w:tcMar>
              <w:bottom w:w="28" w:type="dxa"/>
            </w:tcMar>
            <w:vAlign w:val="center"/>
          </w:tcPr>
          <w:p>
            <w:pPr>
              <w:pStyle w:val="TableContents"/>
              <w:bidi w:val="0"/>
              <w:spacing w:before="0" w:after="283"/>
              <w:jc w:val="right"/>
              <w:rPr/>
            </w:pPr>
            <w:r>
              <w:rPr/>
              <w:t>628</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March 31, 2025</w:t>
            </w:r>
          </w:p>
        </w:tc>
        <w:tc>
          <w:tcPr>
            <w:tcW w:w="90" w:type="dxa"/>
            <w:tcBorders/>
            <w:shd w:fill="CCEEFF" w:val="clear"/>
            <w:vAlign w:val="center"/>
          </w:tcPr>
          <w:p>
            <w:pPr>
              <w:pStyle w:val="TableContents"/>
              <w:bidi w:val="0"/>
              <w:spacing w:before="0" w:after="283"/>
              <w:jc w:val="left"/>
              <w:rPr/>
            </w:pPr>
            <w:r>
              <w:rPr/>
              <w:t> </w:t>
            </w:r>
          </w:p>
        </w:tc>
        <w:tc>
          <w:tcPr>
            <w:tcW w:w="3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8" w:type="dxa"/>
            <w:tcBorders>
              <w:bottom w:val="double" w:sz="6"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shd w:fill="CCEEFF" w:val="clear"/>
            <w:tcMar>
              <w:bottom w:w="28" w:type="dxa"/>
            </w:tcMar>
            <w:vAlign w:val="center"/>
          </w:tcPr>
          <w:p>
            <w:pPr>
              <w:pStyle w:val="TableContents"/>
              <w:bidi w:val="0"/>
              <w:spacing w:before="0" w:after="283"/>
              <w:jc w:val="right"/>
              <w:rPr/>
            </w:pPr>
            <w:r>
              <w:rPr/>
              <w:t>295,931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pPr>
            <w:r>
              <w:rPr/>
              <w:t>(44,860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49" w:type="dxa"/>
            <w:tcBorders>
              <w:bottom w:val="double" w:sz="6" w:space="0" w:color="000000"/>
            </w:tcBorders>
            <w:shd w:fill="CCEEFF" w:val="clear"/>
            <w:tcMar>
              <w:bottom w:w="28" w:type="dxa"/>
            </w:tcMar>
            <w:vAlign w:val="center"/>
          </w:tcPr>
          <w:p>
            <w:pPr>
              <w:pStyle w:val="TableContents"/>
              <w:bidi w:val="0"/>
              <w:spacing w:before="0" w:after="283"/>
              <w:jc w:val="right"/>
              <w:rPr/>
            </w:pPr>
            <w:r>
              <w:rPr/>
              <w:t>(16,556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234,526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63" w:type="dxa"/>
            <w:tcBorders>
              <w:bottom w:val="double" w:sz="6" w:space="0" w:color="000000"/>
            </w:tcBorders>
            <w:shd w:fill="CCEEFF" w:val="clear"/>
            <w:tcMar>
              <w:bottom w:w="28" w:type="dxa"/>
            </w:tcMar>
            <w:vAlign w:val="center"/>
          </w:tcPr>
          <w:p>
            <w:pPr>
              <w:pStyle w:val="TableContents"/>
              <w:bidi w:val="0"/>
              <w:spacing w:before="0" w:after="283"/>
              <w:jc w:val="right"/>
              <w:rPr/>
            </w:pPr>
            <w:r>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8" w:type="dxa"/>
            <w:tcBorders>
              <w:bottom w:val="double" w:sz="6" w:space="0" w:color="000000"/>
            </w:tcBorders>
            <w:shd w:fill="CCEEFF" w:val="clear"/>
            <w:tcMar>
              <w:bottom w:w="28" w:type="dxa"/>
            </w:tcMar>
            <w:vAlign w:val="center"/>
          </w:tcPr>
          <w:p>
            <w:pPr>
              <w:pStyle w:val="TableContents"/>
              <w:bidi w:val="0"/>
              <w:spacing w:before="0" w:after="283"/>
              <w:jc w:val="right"/>
              <w:rPr/>
            </w:pPr>
            <w:r>
              <w:rPr/>
              <w:t>235,026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16"/>
        <w:gridCol w:w="90"/>
        <w:gridCol w:w="178"/>
        <w:gridCol w:w="823"/>
        <w:gridCol w:w="130"/>
        <w:gridCol w:w="93"/>
        <w:gridCol w:w="178"/>
        <w:gridCol w:w="823"/>
        <w:gridCol w:w="174"/>
      </w:tblGrid>
      <w:tr>
        <w:trPr/>
        <w:tc>
          <w:tcPr>
            <w:tcW w:w="77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vAlign w:val="center"/>
          </w:tcPr>
          <w:p>
            <w:pPr>
              <w:pStyle w:val="TableContents"/>
              <w:bidi w:val="0"/>
              <w:spacing w:before="0" w:after="283"/>
              <w:jc w:val="center"/>
              <w:rPr>
                <w:b/>
              </w:rPr>
            </w:pPr>
            <w:r>
              <w:rPr>
                <w:b/>
              </w:rPr>
              <w:t>Three Months Ended</w:t>
              <w:br/>
              <w:t>March 31,</w:t>
            </w:r>
          </w:p>
        </w:tc>
        <w:tc>
          <w:tcPr>
            <w:tcW w:w="174" w:type="dxa"/>
            <w:tcBorders/>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74" w:type="dxa"/>
            <w:tcBorders/>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4" w:type="dxa"/>
            <w:tcBorders/>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001" w:type="dxa"/>
            <w:gridSpan w:val="2"/>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(4,280</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823" w:type="dxa"/>
            <w:tcBorders/>
            <w:shd w:fill="CCEEFF" w:val="clear"/>
            <w:vAlign w:val="center"/>
          </w:tcPr>
          <w:p>
            <w:pPr>
              <w:pStyle w:val="TableContents"/>
              <w:bidi w:val="0"/>
              <w:spacing w:before="0" w:after="283"/>
              <w:jc w:val="right"/>
              <w:rPr/>
            </w:pPr>
            <w:r>
              <w:rPr/>
              <w:t>(2,382</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Adjustments to reconcile net loss to net cash provided by (used in) operating activities: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Recovery of credit losses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(19</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(11</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2,122</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1,559</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Write-off and amortization of debt issuance costs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23</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79</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3,081</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2,552</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Loss on disposal of property and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(9</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(10</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45,116</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36,029</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Inventory</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6,951</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(383</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Prepaid expenses and other assets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(674</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(4,727</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(14,533</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(13,281</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(7,221</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(11,256</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Reserve for sales returns and allowances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(6,832</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(9,588</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Income taxes payable</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(1,595</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(1,553</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(335</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1,271</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Total adjustments</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right"/>
              <w:rPr/>
            </w:pPr>
            <w:r>
              <w:rPr/>
              <w:t>26,075</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right"/>
              <w:rPr/>
            </w:pPr>
            <w:r>
              <w:rPr/>
              <w:t>682</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21,795</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(1,700</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Purchases of property and equipment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(5,589</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(2,070</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right"/>
              <w:rPr/>
            </w:pPr>
            <w:r>
              <w:rPr/>
              <w:t>(223</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right"/>
              <w:rPr/>
            </w:pPr>
            <w:r>
              <w:rPr/>
              <w:t>(995</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(5,812</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(3,065</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Repurchase of common stock for employee tax withholding</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(1,260</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(3,819</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Cash dividend paid</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(2,861</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(2,786</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Deferred issuance costs</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(146</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Net cash used in financing activities</w:t>
            </w:r>
          </w:p>
        </w:tc>
        <w:tc>
          <w:tcPr>
            <w:tcW w:w="90"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right"/>
              <w:rPr/>
            </w:pPr>
            <w:r>
              <w:rPr/>
              <w:t>(4,267</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tcMar>
              <w:bottom w:w="28" w:type="dxa"/>
            </w:tcMar>
            <w:vAlign w:val="center"/>
          </w:tcPr>
          <w:p>
            <w:pPr>
              <w:pStyle w:val="TableContents"/>
              <w:bidi w:val="0"/>
              <w:spacing w:before="0" w:after="283"/>
              <w:jc w:val="right"/>
              <w:rPr/>
            </w:pPr>
            <w:r>
              <w:rPr/>
              <w:t>(6,605</w:t>
            </w:r>
          </w:p>
        </w:tc>
        <w:tc>
          <w:tcPr>
            <w:tcW w:w="174" w:type="dxa"/>
            <w:tcBorders/>
            <w:vAlign w:val="center"/>
          </w:tcPr>
          <w:p>
            <w:pPr>
              <w:pStyle w:val="TableContents"/>
              <w:bidi w:val="0"/>
              <w:spacing w:before="0" w:after="283"/>
              <w:jc w:val="left"/>
              <w:rPr/>
            </w:pPr>
            <w:r>
              <w:rPr/>
              <w:t>)</w:t>
            </w:r>
          </w:p>
        </w:tc>
      </w:tr>
      <w:tr>
        <w:trPr/>
        <w:tc>
          <w:tcPr>
            <w:tcW w:w="7716" w:type="dxa"/>
            <w:tcBorders/>
            <w:shd w:fill="CCEEFF" w:val="clear"/>
            <w:vAlign w:val="center"/>
          </w:tcPr>
          <w:p>
            <w:pPr>
              <w:pStyle w:val="TableContents"/>
              <w:bidi w:val="0"/>
              <w:spacing w:before="0" w:after="283"/>
              <w:jc w:val="left"/>
              <w:rPr/>
            </w:pPr>
            <w:r>
              <w:rPr/>
              <w:t>Net increase (decrease) in cash,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11,716</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(11,370</w:t>
            </w:r>
          </w:p>
        </w:tc>
        <w:tc>
          <w:tcPr>
            <w:tcW w:w="174" w:type="dxa"/>
            <w:tcBorders/>
            <w:shd w:fill="CCEEFF" w:val="clear"/>
            <w:vAlign w:val="center"/>
          </w:tcPr>
          <w:p>
            <w:pPr>
              <w:pStyle w:val="TableContents"/>
              <w:bidi w:val="0"/>
              <w:spacing w:before="0" w:after="283"/>
              <w:jc w:val="left"/>
              <w:rPr/>
            </w:pPr>
            <w:r>
              <w:rPr/>
              <w:t>)</w:t>
            </w:r>
          </w:p>
        </w:tc>
      </w:tr>
      <w:tr>
        <w:trPr/>
        <w:tc>
          <w:tcPr>
            <w:tcW w:w="7716" w:type="dxa"/>
            <w:tcBorders/>
            <w:vAlign w:val="center"/>
          </w:tcPr>
          <w:p>
            <w:pPr>
              <w:pStyle w:val="TableContents"/>
              <w:bidi w:val="0"/>
              <w:spacing w:before="0" w:after="283"/>
              <w:jc w:val="left"/>
              <w:rPr/>
            </w:pPr>
            <w:r>
              <w:rPr/>
              <w:t>Effect of foreign currency translation</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(1,801</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823" w:type="dxa"/>
            <w:tcBorders/>
            <w:vAlign w:val="center"/>
          </w:tcPr>
          <w:p>
            <w:pPr>
              <w:pStyle w:val="TableContents"/>
              <w:bidi w:val="0"/>
              <w:spacing w:before="0" w:after="283"/>
              <w:jc w:val="right"/>
              <w:rPr/>
            </w:pPr>
            <w:r>
              <w:rPr/>
              <w:t>628</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Cash, cash equivalents and restricted cash, beginning of period</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54,066</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8" w:space="0" w:color="000000"/>
            </w:tcBorders>
            <w:shd w:fill="CCEEFF" w:val="clear"/>
            <w:tcMar>
              <w:bottom w:w="28" w:type="dxa"/>
            </w:tcMar>
            <w:vAlign w:val="center"/>
          </w:tcPr>
          <w:p>
            <w:pPr>
              <w:pStyle w:val="TableContents"/>
              <w:bidi w:val="0"/>
              <w:spacing w:before="0" w:after="283"/>
              <w:jc w:val="right"/>
              <w:rPr/>
            </w:pPr>
            <w:r>
              <w:rPr/>
              <w:t>70,137</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Cash, cash equivalents and restricted cash, end of period</w:t>
            </w:r>
          </w:p>
        </w:tc>
        <w:tc>
          <w:tcPr>
            <w:tcW w:w="90"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tcMar>
              <w:bottom w:w="28" w:type="dxa"/>
            </w:tcMar>
            <w:vAlign w:val="center"/>
          </w:tcPr>
          <w:p>
            <w:pPr>
              <w:pStyle w:val="TableContents"/>
              <w:bidi w:val="0"/>
              <w:spacing w:before="0" w:after="283"/>
              <w:jc w:val="right"/>
              <w:rPr/>
            </w:pPr>
            <w:r>
              <w:rPr/>
              <w:t>63,981</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tcMar>
              <w:bottom w:w="28" w:type="dxa"/>
            </w:tcMar>
            <w:vAlign w:val="center"/>
          </w:tcPr>
          <w:p>
            <w:pPr>
              <w:pStyle w:val="TableContents"/>
              <w:bidi w:val="0"/>
              <w:spacing w:before="0" w:after="283"/>
              <w:jc w:val="right"/>
              <w:rPr/>
            </w:pPr>
            <w:r>
              <w:rPr/>
              <w:t>59,395</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b/>
              </w:rPr>
            </w:pPr>
            <w:r>
              <w:rPr>
                <w:b/>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823"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716" w:type="dxa"/>
            <w:tcBorders/>
            <w:vAlign w:val="center"/>
          </w:tcPr>
          <w:p>
            <w:pPr>
              <w:pStyle w:val="TableContents"/>
              <w:bidi w:val="0"/>
              <w:spacing w:before="0" w:after="283"/>
              <w:jc w:val="left"/>
              <w:rPr/>
            </w:pPr>
            <w:r>
              <w:rPr/>
              <w:t>Cash paid for income taxes, net</w:t>
            </w:r>
          </w:p>
        </w:tc>
        <w:tc>
          <w:tcPr>
            <w:tcW w:w="90"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tcMar>
              <w:bottom w:w="28" w:type="dxa"/>
            </w:tcMar>
            <w:vAlign w:val="center"/>
          </w:tcPr>
          <w:p>
            <w:pPr>
              <w:pStyle w:val="TableContents"/>
              <w:bidi w:val="0"/>
              <w:spacing w:before="0" w:after="283"/>
              <w:jc w:val="right"/>
              <w:rPr/>
            </w:pPr>
            <w:r>
              <w:rPr/>
              <w:t>(5,956</w:t>
            </w:r>
          </w:p>
        </w:tc>
        <w:tc>
          <w:tcPr>
            <w:tcW w:w="130"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tcMar>
              <w:bottom w:w="28" w:type="dxa"/>
            </w:tcMar>
            <w:vAlign w:val="center"/>
          </w:tcPr>
          <w:p>
            <w:pPr>
              <w:pStyle w:val="TableContents"/>
              <w:bidi w:val="0"/>
              <w:spacing w:before="0" w:after="283"/>
              <w:jc w:val="right"/>
              <w:rPr/>
            </w:pPr>
            <w:r>
              <w:rPr/>
              <w:t>406</w:t>
            </w:r>
          </w:p>
        </w:tc>
        <w:tc>
          <w:tcPr>
            <w:tcW w:w="174" w:type="dxa"/>
            <w:tcBorders/>
            <w:vAlign w:val="center"/>
          </w:tcPr>
          <w:p>
            <w:pPr>
              <w:pStyle w:val="TableContents"/>
              <w:bidi w:val="0"/>
              <w:spacing w:before="0" w:after="283"/>
              <w:jc w:val="left"/>
              <w:rPr/>
            </w:pPr>
            <w:r>
              <w:rPr/>
              <w:t> </w:t>
            </w:r>
          </w:p>
        </w:tc>
      </w:tr>
      <w:tr>
        <w:trPr/>
        <w:tc>
          <w:tcPr>
            <w:tcW w:w="7716" w:type="dxa"/>
            <w:tcBorders/>
            <w:shd w:fill="CCEEFF" w:val="clear"/>
            <w:vAlign w:val="center"/>
          </w:tcPr>
          <w:p>
            <w:pPr>
              <w:pStyle w:val="TableContents"/>
              <w:bidi w:val="0"/>
              <w:spacing w:before="0" w:after="283"/>
              <w:jc w:val="left"/>
              <w:rPr/>
            </w:pPr>
            <w:r>
              <w:rPr/>
              <w:t>Cash paid for interest</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2</w:t>
            </w:r>
          </w:p>
        </w:tc>
        <w:tc>
          <w:tcPr>
            <w:tcW w:w="13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3" w:type="dxa"/>
            <w:tcBorders>
              <w:bottom w:val="double" w:sz="6" w:space="0" w:color="000000"/>
            </w:tcBorders>
            <w:shd w:fill="CCEEFF" w:val="clear"/>
            <w:tcMar>
              <w:bottom w:w="28" w:type="dxa"/>
            </w:tcMar>
            <w:vAlign w:val="center"/>
          </w:tcPr>
          <w:p>
            <w:pPr>
              <w:pStyle w:val="TableContents"/>
              <w:bidi w:val="0"/>
              <w:spacing w:before="0" w:after="283"/>
              <w:jc w:val="right"/>
              <w:rPr/>
            </w:pPr>
            <w:r>
              <w:rPr/>
              <w:t>0</w:t>
            </w:r>
          </w:p>
        </w:tc>
        <w:tc>
          <w:tcPr>
            <w:tcW w:w="17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income tax refunds of $6.9 million and nil during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 of non-cash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lease liability increased by $0.1 million and $2.5 million respectively, with a corresponding increase to the ROU asset.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2025, there were $6.0 million and $4.7 million, respectively, of property and equipment purchases included in accounts payable.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condensed consolidated financial statements included herein have been prepared by the Company,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pursuant to such rules and regulations. However, the Company believes that the disclosures are adequate to prevent the information presented from being misleading. These financial statements should be read in conjunction with the financial statements and the notes thereto included in the Company’s Annual Report on Form 10-K, which contains audited financial information for the three years in the period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report reflects all adjustments (consisting solely of normal recurring items) that are, in the opinion of management, necessary to present fairly the financial position and the results of operations for the periods presented. Interim results are not necessarily, especially given seasonality, indicative of results to be expected for a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JAKKS Pacific, Inc. and its wholly-owned subsidiaries (collectively,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The new guidance improves disclosures about a public business entity’s expenses by requiring disaggregated disclosures of certain types of expenses, including purchases of inventory, employee compensation, depreciation, intangible amortization and depletion, as applicable, for each income statement caption that includes those expenses. In addition, the standard will require entities to define and disclose total selling expenses. The standard is effective for public business entities such as the Company for annual periods beginning after December 15, 2026, and interim periods beginning after December 15, 2027. Early adoption is permitted, and entities may apply the standard prospectively or retrospectively. The Company is currently evaluating the impact of adopting this standard on its condensed consolidated financial statements and related disclosures.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The new guidance provides a practical expedient in developing reasonable and supportable forecasts when estimating expected credit losses for current accounts receivable and current contract assets arising from transactions accounted for under Topic 606. Entities that elect the practical expedient may assume that current conditions as of the balance sheet date do not change for the remaining life of the respective assets. The amendments will be effective for annual reporting periods beginning after December 15, 2025, and interim reporting periods within those annual reporting periods. Early adoption was permitted in both interim and annual reporting periods in which financial statements have not yet been issued or made available for issuance. The Company adopted this standard as of January 1, 2026. The adoption of this standard did not have a material impact on its condensed consolidated financial statements and related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“Intangibles—Goodwill and Other—Internal-Use Software (Subtopic 350-40): Targeted Improvements to the Accounting for Internal-Use Software.” The new guidance removes all references to prescriptive and sequential software development stages (referred to as “project stages”) throughout Subtopic 350-40. Therefore,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(referred to as “significant development uncertainty”). The amendments will be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of adopting this standard on its condensed consolidated financial statements and related disclosures.</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accounting pronouncements were issued or adopted for the three months ended March 31, 2026 that materially impacted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Business Segments, Geographic Data and Sales by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worldwide producer and marketer of children’s toys and other consumer products, principally engaged in the design, development, production, marketing and distribution of its diverse portfolio of products. The Company’s segments are (i) Toys/Consumer Products (“TCP”) and (ii) Costumes.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Toys/Consumer Products segment includes action figures, vehicles, play sets, plush products, dolls, electronic products, construction toys, infant and pre-school toys, child-sized and hand-held role play toys and everyday costume play, foot-to-floor ride-on vehicles, wagons, novelty toys, seasonal and outdoor products, kids’ indoor and outdoor furniture, and related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Costumes segment, under its Disguise branding, designs, develops, markets and sells a wide range of every-day and special occasion dress-up costumes and related accessories in support of Halloween, Carnival, Children’s Day, Book Day/Week, and every-day/any-day costume play.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Chief Executive Officer and Chief Financial Officer have been identified jointly as the Chief Operating Decision Maker (“CODM”). The CODM manages and allocates resources on a segment basis. The determination of the two segments is consistent with the financial information regularly reviewed by the CODM for purposes of evaluating performance. Results are regularly reviewed in comparison with current budget, prior forecast, prior year and recent years’ performance in that quarter.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Segment performance is measured at the gross profit and operating income (loss) level. All sales are made to external customers and general corporate expenses have been attributed to the segments based upon relative sales volumes. Segment assets are primarily comprised of accounts receivable and inventories, net of applicable reserves and allowances, goodwill and other assets. Certain assets which are not tracked by operating segment and/or that benefit multiple operating segments have been allocated on the same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are not necessarily those which would be achieved if each segment was an unaffiliated business enterprise. Information by segment and a reconciliation to reported amounts for the three months ended March 31, 2026 and 2025 and as of March 31, 2026 and December 31, 2025 are as follows (in thousands):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5"/>
        <w:gridCol w:w="90"/>
        <w:gridCol w:w="170"/>
        <w:gridCol w:w="830"/>
        <w:gridCol w:w="125"/>
        <w:gridCol w:w="90"/>
        <w:gridCol w:w="211"/>
        <w:gridCol w:w="829"/>
        <w:gridCol w:w="125"/>
        <w:gridCol w:w="90"/>
        <w:gridCol w:w="170"/>
        <w:gridCol w:w="830"/>
        <w:gridCol w:w="125"/>
        <w:gridCol w:w="90"/>
        <w:gridCol w:w="170"/>
        <w:gridCol w:w="830"/>
        <w:gridCol w:w="90"/>
        <w:gridCol w:w="90"/>
        <w:gridCol w:w="211"/>
        <w:gridCol w:w="829"/>
        <w:gridCol w:w="125"/>
        <w:gridCol w:w="90"/>
        <w:gridCol w:w="170"/>
        <w:gridCol w:w="830"/>
        <w:gridCol w:w="170"/>
      </w:tblGrid>
      <w:tr>
        <w:trPr/>
        <w:tc>
          <w:tcPr>
            <w:tcW w:w="2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12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17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4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3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TCP</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Costumes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TCP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Costumes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100,095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6,581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106,676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107,438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29" w:type="dxa"/>
            <w:tcBorders/>
            <w:shd w:fill="CCEEFF" w:val="clear"/>
            <w:vAlign w:val="center"/>
          </w:tcPr>
          <w:p>
            <w:pPr>
              <w:pStyle w:val="TableContents"/>
              <w:bidi w:val="0"/>
              <w:spacing w:before="0" w:after="283"/>
              <w:jc w:val="right"/>
              <w:rPr/>
            </w:pPr>
            <w:r>
              <w:rPr/>
              <w:t>5,815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113,253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Cost of Sales </w:t>
            </w:r>
            <w:r>
              <w:rPr>
                <w:rFonts w:ascii="Times New Roman;Times;Serif" w:hAnsi="Times New Roman;Times;Serif"/>
                <w:position w:val="7"/>
                <w:sz w:val="16"/>
                <w:sz w:val="20"/>
              </w:rPr>
              <w:t>(A)</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66,113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tcMar>
              <w:bottom w:w="28" w:type="dxa"/>
            </w:tcMar>
            <w:vAlign w:val="center"/>
          </w:tcPr>
          <w:p>
            <w:pPr>
              <w:pStyle w:val="TableContents"/>
              <w:bidi w:val="0"/>
              <w:spacing w:before="0" w:after="283"/>
              <w:jc w:val="right"/>
              <w:rPr/>
            </w:pPr>
            <w:r>
              <w:rPr/>
              <w:t>4,957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71,070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69,239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tcMar>
              <w:bottom w:w="28" w:type="dxa"/>
            </w:tcMar>
            <w:vAlign w:val="center"/>
          </w:tcPr>
          <w:p>
            <w:pPr>
              <w:pStyle w:val="TableContents"/>
              <w:bidi w:val="0"/>
              <w:spacing w:before="0" w:after="283"/>
              <w:jc w:val="right"/>
              <w:rPr/>
            </w:pPr>
            <w:r>
              <w:rPr/>
              <w:t>5,001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74,240</w:t>
            </w:r>
          </w:p>
        </w:tc>
        <w:tc>
          <w:tcPr>
            <w:tcW w:w="170"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33,982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1,624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35,606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38,199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814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39,013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Direct selling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6,955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1,209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8,164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7,966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730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8,696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left"/>
              <w:rPr/>
            </w:pPr>
            <w:r>
              <w:rPr/>
              <w:t>Product development and testing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2,004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138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2,015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384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2,399</w:t>
            </w:r>
          </w:p>
        </w:tc>
        <w:tc>
          <w:tcPr>
            <w:tcW w:w="170"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Divisional general and administrative expenses </w:t>
            </w:r>
            <w:r>
              <w:rPr>
                <w:rFonts w:ascii="Times New Roman;Times;Serif" w:hAnsi="Times New Roman;Times;Serif"/>
                <w:position w:val="7"/>
                <w:sz w:val="16"/>
                <w:sz w:val="20"/>
              </w:rPr>
              <w:t>(A), (B)</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5,298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2,647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7,945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3,231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8,788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Allocated headquarter general &amp; administrative expenses </w:t>
            </w:r>
            <w:r>
              <w:rPr>
                <w:rFonts w:ascii="Times New Roman;Times;Serif" w:hAnsi="Times New Roman;Times;Serif"/>
                <w:position w:val="7"/>
                <w:sz w:val="16"/>
                <w:sz w:val="20"/>
              </w:rPr>
              <w:t>(A), (C)</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21,431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tcMar>
              <w:bottom w:w="28" w:type="dxa"/>
            </w:tcMar>
            <w:vAlign w:val="center"/>
          </w:tcPr>
          <w:p>
            <w:pPr>
              <w:pStyle w:val="TableContents"/>
              <w:bidi w:val="0"/>
              <w:spacing w:before="0" w:after="283"/>
              <w:jc w:val="right"/>
              <w:rPr/>
            </w:pPr>
            <w:r>
              <w:rPr/>
              <w:t>1,498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22,929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21,740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bottom w:val="single" w:sz="8" w:space="0" w:color="000000"/>
            </w:tcBorders>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tcMar>
              <w:bottom w:w="28" w:type="dxa"/>
            </w:tcMar>
            <w:vAlign w:val="center"/>
          </w:tcPr>
          <w:p>
            <w:pPr>
              <w:pStyle w:val="TableContents"/>
              <w:bidi w:val="0"/>
              <w:spacing w:before="0" w:after="283"/>
              <w:jc w:val="right"/>
              <w:rPr/>
            </w:pPr>
            <w:r>
              <w:rPr/>
              <w:t>1,147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22,887</w:t>
            </w:r>
          </w:p>
        </w:tc>
        <w:tc>
          <w:tcPr>
            <w:tcW w:w="170"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Income (loss) from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(1,706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(3,868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(5,574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921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8" w:space="0" w:color="000000"/>
            </w:tcBorders>
            <w:shd w:fill="CCEEFF" w:val="clear"/>
            <w:tcMar>
              <w:bottom w:w="28" w:type="dxa"/>
            </w:tcMar>
            <w:vAlign w:val="center"/>
          </w:tcPr>
          <w:p>
            <w:pPr>
              <w:pStyle w:val="TableContents"/>
              <w:bidi w:val="0"/>
              <w:spacing w:before="0" w:after="283"/>
              <w:jc w:val="right"/>
              <w:rPr/>
            </w:pPr>
            <w:r>
              <w:rPr/>
              <w:t>(4,678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(3,757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825"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ind w:left="0" w:right="0" w:hanging="180"/>
              <w:jc w:val="left"/>
              <w:rPr/>
            </w:pPr>
            <w:r>
              <w:rPr/>
              <w:t> </w:t>
            </w:r>
          </w:p>
        </w:tc>
      </w:tr>
      <w:tr>
        <w:trPr/>
        <w:tc>
          <w:tcPr>
            <w:tcW w:w="282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825"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(60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(155</w:t>
            </w:r>
          </w:p>
        </w:tc>
        <w:tc>
          <w:tcPr>
            <w:tcW w:w="170" w:type="dxa"/>
            <w:tcBorders/>
            <w:vAlign w:val="center"/>
          </w:tcPr>
          <w:p>
            <w:pPr>
              <w:pStyle w:val="TableContents"/>
              <w:bidi w:val="0"/>
              <w:spacing w:before="0" w:after="283"/>
              <w:ind w:left="0" w:right="0" w:hanging="180"/>
              <w:jc w:val="left"/>
              <w:rPr/>
            </w:pPr>
            <w:r>
              <w:rPr/>
              <w:t>)</w:t>
            </w:r>
          </w:p>
        </w:tc>
      </w:tr>
      <w:tr>
        <w:trPr/>
        <w:tc>
          <w:tcPr>
            <w:tcW w:w="2825" w:type="dxa"/>
            <w:tcBorders/>
            <w:shd w:fill="CCEEFF" w:val="clear"/>
            <w:vAlign w:val="center"/>
          </w:tcPr>
          <w:p>
            <w:pPr>
              <w:pStyle w:val="TableContents"/>
              <w:bidi w:val="0"/>
              <w:spacing w:before="0" w:after="283"/>
              <w:jc w:val="left"/>
              <w:rPr/>
            </w:pPr>
            <w:r>
              <w:rPr/>
              <w:t>Income before benefit from income taxes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(5,129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(3,545</w:t>
            </w:r>
          </w:p>
        </w:tc>
        <w:tc>
          <w:tcPr>
            <w:tcW w:w="170"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8990" w:type="dxa"/>
        <w:jc w:val="left"/>
        <w:tblInd w:w="0" w:type="dxa"/>
        <w:tblLayout w:type="fixed"/>
        <w:tblCellMar>
          <w:top w:w="0" w:type="dxa"/>
          <w:left w:w="0" w:type="dxa"/>
          <w:bottom w:w="0" w:type="dxa"/>
          <w:right w:w="0" w:type="dxa"/>
        </w:tblCellMar>
      </w:tblPr>
      <w:tblGrid>
        <w:gridCol w:w="4025"/>
        <w:gridCol w:w="90"/>
        <w:gridCol w:w="170"/>
        <w:gridCol w:w="590"/>
        <w:gridCol w:w="90"/>
        <w:gridCol w:w="90"/>
        <w:gridCol w:w="170"/>
        <w:gridCol w:w="290"/>
        <w:gridCol w:w="90"/>
        <w:gridCol w:w="90"/>
        <w:gridCol w:w="170"/>
        <w:gridCol w:w="590"/>
        <w:gridCol w:w="90"/>
        <w:gridCol w:w="90"/>
        <w:gridCol w:w="170"/>
        <w:gridCol w:w="590"/>
        <w:gridCol w:w="90"/>
        <w:gridCol w:w="90"/>
        <w:gridCol w:w="170"/>
        <w:gridCol w:w="170"/>
        <w:gridCol w:w="90"/>
        <w:gridCol w:w="90"/>
        <w:gridCol w:w="170"/>
        <w:gridCol w:w="590"/>
        <w:gridCol w:w="135"/>
      </w:tblGrid>
      <w:tr>
        <w:trPr/>
        <w:tc>
          <w:tcPr>
            <w:tcW w:w="4025" w:type="dxa"/>
            <w:tcBorders/>
            <w:vAlign w:val="center"/>
          </w:tcPr>
          <w:p>
            <w:pPr>
              <w:pStyle w:val="TableContents"/>
              <w:bidi w:val="0"/>
              <w:spacing w:before="0" w:after="283"/>
              <w:ind w:left="0" w:right="0" w:hanging="180"/>
              <w:jc w:val="left"/>
              <w:rPr/>
            </w:pPr>
            <w:r>
              <w:rPr>
                <w:position w:val="8"/>
                <w:sz w:val="19"/>
              </w:rPr>
              <w:t>(A)</w:t>
            </w:r>
            <w:r>
              <w:rPr/>
              <w:t xml:space="preserve"> Includes 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2,107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2,122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1,550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0" w:type="dxa"/>
            <w:tcBorders/>
            <w:vAlign w:val="center"/>
          </w:tcPr>
          <w:p>
            <w:pPr>
              <w:pStyle w:val="TableContents"/>
              <w:bidi w:val="0"/>
              <w:spacing w:before="0" w:after="283"/>
              <w:jc w:val="right"/>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1,559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68"/>
        <w:gridCol w:w="275"/>
        <w:gridCol w:w="9245"/>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(B)</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 mainly of payroll and related expenses, rent, depreciation and other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68"/>
        <w:gridCol w:w="275"/>
        <w:gridCol w:w="890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(C)</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 mainly of payroll related expenses, rent, depreciation and other 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2465"/>
        <w:gridCol w:w="90"/>
        <w:gridCol w:w="187"/>
        <w:gridCol w:w="913"/>
        <w:gridCol w:w="90"/>
        <w:gridCol w:w="90"/>
        <w:gridCol w:w="245"/>
        <w:gridCol w:w="1199"/>
        <w:gridCol w:w="135"/>
      </w:tblGrid>
      <w:tr>
        <w:trPr/>
        <w:tc>
          <w:tcPr>
            <w:tcW w:w="24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377,859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419,064</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913" w:type="dxa"/>
            <w:tcBorders>
              <w:bottom w:val="single" w:sz="8" w:space="0" w:color="000000"/>
            </w:tcBorders>
            <w:tcMar>
              <w:bottom w:w="28" w:type="dxa"/>
            </w:tcMar>
            <w:vAlign w:val="center"/>
          </w:tcPr>
          <w:p>
            <w:pPr>
              <w:pStyle w:val="TableContents"/>
              <w:bidi w:val="0"/>
              <w:spacing w:before="0" w:after="283"/>
              <w:jc w:val="right"/>
              <w:rPr/>
            </w:pPr>
            <w:r>
              <w:rPr/>
              <w:t>22,587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8" w:space="0" w:color="000000"/>
            </w:tcBorders>
            <w:tcMar>
              <w:bottom w:w="28" w:type="dxa"/>
            </w:tcMar>
            <w:vAlign w:val="center"/>
          </w:tcPr>
          <w:p>
            <w:pPr>
              <w:pStyle w:val="TableContents"/>
              <w:bidi w:val="0"/>
              <w:spacing w:before="0" w:after="283"/>
              <w:jc w:val="left"/>
              <w:rPr/>
            </w:pPr>
            <w:r>
              <w:rPr/>
              <w:t> </w:t>
            </w:r>
          </w:p>
        </w:tc>
        <w:tc>
          <w:tcPr>
            <w:tcW w:w="1199" w:type="dxa"/>
            <w:tcBorders>
              <w:bottom w:val="single" w:sz="8" w:space="0" w:color="000000"/>
            </w:tcBorders>
            <w:tcMar>
              <w:bottom w:w="28" w:type="dxa"/>
            </w:tcMar>
            <w:vAlign w:val="center"/>
          </w:tcPr>
          <w:p>
            <w:pPr>
              <w:pStyle w:val="TableContents"/>
              <w:bidi w:val="0"/>
              <w:spacing w:before="0" w:after="283"/>
              <w:jc w:val="right"/>
              <w:rPr/>
            </w:pPr>
            <w:r>
              <w:rPr/>
              <w:t>23,133</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3" w:type="dxa"/>
            <w:tcBorders>
              <w:bottom w:val="double" w:sz="6" w:space="0" w:color="000000"/>
            </w:tcBorders>
            <w:shd w:fill="CCEEFF" w:val="clear"/>
            <w:tcMar>
              <w:bottom w:w="28" w:type="dxa"/>
            </w:tcMar>
            <w:vAlign w:val="center"/>
          </w:tcPr>
          <w:p>
            <w:pPr>
              <w:pStyle w:val="TableContents"/>
              <w:bidi w:val="0"/>
              <w:spacing w:before="0" w:after="283"/>
              <w:jc w:val="right"/>
              <w:rPr/>
            </w:pPr>
            <w:r>
              <w:rPr/>
              <w:t>400,446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442,197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revenues are categorized based upon location of the customer, while long-lived assets are categorized based upon the location of the Company’s assets. The following tables present information about the Company by geographic area as of March 31, 2026 and December 31, 2025 and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4798" w:type="dxa"/>
        <w:jc w:val="left"/>
        <w:tblInd w:w="0" w:type="dxa"/>
        <w:tblLayout w:type="fixed"/>
        <w:tblCellMar>
          <w:top w:w="0" w:type="dxa"/>
          <w:left w:w="0" w:type="dxa"/>
          <w:bottom w:w="0" w:type="dxa"/>
          <w:right w:w="0" w:type="dxa"/>
        </w:tblCellMar>
      </w:tblPr>
      <w:tblGrid>
        <w:gridCol w:w="1850"/>
        <w:gridCol w:w="90"/>
        <w:gridCol w:w="212"/>
        <w:gridCol w:w="887"/>
        <w:gridCol w:w="90"/>
        <w:gridCol w:w="90"/>
        <w:gridCol w:w="278"/>
        <w:gridCol w:w="1166"/>
        <w:gridCol w:w="135"/>
      </w:tblGrid>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b/>
              </w:rPr>
            </w:pPr>
            <w:r>
              <w:rPr>
                <w:b/>
              </w:rPr>
              <w:t>Long-lived Assets</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40,535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42,788</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China</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18,735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16,659</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United Kingdom</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2,961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3,073</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Hong Kong</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1,666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1,853</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Italy</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654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717</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Mexico</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550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594</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France</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8</w:t>
            </w:r>
          </w:p>
        </w:tc>
        <w:tc>
          <w:tcPr>
            <w:tcW w:w="13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Canada</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tcMar>
              <w:bottom w:w="28" w:type="dxa"/>
            </w:tcMar>
            <w:vAlign w:val="center"/>
          </w:tcPr>
          <w:p>
            <w:pPr>
              <w:pStyle w:val="TableContents"/>
              <w:bidi w:val="0"/>
              <w:spacing w:before="0" w:after="283"/>
              <w:jc w:val="right"/>
              <w:rPr/>
            </w:pPr>
            <w:r>
              <w:rPr/>
              <w:t>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 w:type="dxa"/>
            <w:tcBorders>
              <w:bottom w:val="single" w:sz="8" w:space="0" w:color="000000"/>
            </w:tcBorders>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tcMar>
              <w:bottom w:w="28" w:type="dxa"/>
            </w:tcMar>
            <w:vAlign w:val="center"/>
          </w:tcPr>
          <w:p>
            <w:pPr>
              <w:pStyle w:val="TableContents"/>
              <w:bidi w:val="0"/>
              <w:spacing w:before="0" w:after="283"/>
              <w:jc w:val="right"/>
              <w:rPr/>
            </w:pPr>
            <w:r>
              <w:rPr/>
              <w:t>92</w:t>
            </w:r>
          </w:p>
        </w:tc>
        <w:tc>
          <w:tcPr>
            <w:tcW w:w="13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65,283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65,784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06" w:type="dxa"/>
        <w:jc w:val="left"/>
        <w:tblInd w:w="0" w:type="dxa"/>
        <w:tblLayout w:type="fixed"/>
        <w:tblCellMar>
          <w:top w:w="0" w:type="dxa"/>
          <w:left w:w="0" w:type="dxa"/>
          <w:bottom w:w="0" w:type="dxa"/>
          <w:right w:w="0" w:type="dxa"/>
        </w:tblCellMar>
      </w:tblPr>
      <w:tblGrid>
        <w:gridCol w:w="2945"/>
        <w:gridCol w:w="90"/>
        <w:gridCol w:w="174"/>
        <w:gridCol w:w="852"/>
        <w:gridCol w:w="92"/>
        <w:gridCol w:w="92"/>
        <w:gridCol w:w="174"/>
        <w:gridCol w:w="852"/>
        <w:gridCol w:w="135"/>
      </w:tblGrid>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b/>
              </w:rPr>
            </w:pPr>
            <w:r>
              <w:rPr>
                <w:b/>
              </w:rPr>
              <w:t>Net Sales by Customer Area</w:t>
            </w:r>
          </w:p>
        </w:tc>
        <w:tc>
          <w:tcPr>
            <w:tcW w:w="9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United States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74,636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88,944</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Europe</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17,379</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11,810</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Latin America</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6,962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7,459</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Canada</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2,992</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3,279</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Australia &amp; New Zealand</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2,469</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613</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Asia</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1,935</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751</w:t>
            </w:r>
          </w:p>
        </w:tc>
        <w:tc>
          <w:tcPr>
            <w:tcW w:w="13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Middle East &amp; Africa</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397</w:t>
            </w:r>
          </w:p>
        </w:tc>
        <w:tc>
          <w:tcPr>
            <w:tcW w:w="135"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106,676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double" w:sz="6" w:space="0" w:color="000000"/>
            </w:tcBorders>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tcMar>
              <w:bottom w:w="28" w:type="dxa"/>
            </w:tcMar>
            <w:vAlign w:val="center"/>
          </w:tcPr>
          <w:p>
            <w:pPr>
              <w:pStyle w:val="TableContents"/>
              <w:bidi w:val="0"/>
              <w:spacing w:before="0" w:after="283"/>
              <w:jc w:val="right"/>
              <w:rPr/>
            </w:pPr>
            <w:r>
              <w:rPr/>
              <w:t>113,253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to major customers globally for the three months ended March 31, 2026 and 2025 were as follows (in thousands, except for percentages):</w:t>
      </w:r>
    </w:p>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1205"/>
        <w:gridCol w:w="90"/>
        <w:gridCol w:w="171"/>
        <w:gridCol w:w="719"/>
        <w:gridCol w:w="90"/>
        <w:gridCol w:w="90"/>
        <w:gridCol w:w="197"/>
        <w:gridCol w:w="1037"/>
        <w:gridCol w:w="245"/>
        <w:gridCol w:w="90"/>
        <w:gridCol w:w="171"/>
        <w:gridCol w:w="719"/>
        <w:gridCol w:w="90"/>
        <w:gridCol w:w="90"/>
        <w:gridCol w:w="197"/>
        <w:gridCol w:w="1037"/>
        <w:gridCol w:w="290"/>
      </w:tblGrid>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94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w:t>
            </w:r>
          </w:p>
        </w:tc>
        <w:tc>
          <w:tcPr>
            <w:tcW w:w="29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b/>
              </w:rPr>
            </w:pPr>
            <w:r>
              <w:rPr>
                <w:b/>
              </w:rPr>
              <w:t>Percentage</w:t>
            </w:r>
          </w:p>
        </w:tc>
        <w:tc>
          <w:tcPr>
            <w:tcW w:w="29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 Net Sales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of Net Sales</w:t>
            </w:r>
          </w:p>
        </w:tc>
        <w:tc>
          <w:tcPr>
            <w:tcW w:w="290"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pPr>
            <w:r>
              <w:rPr/>
              <w:t>Walmart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27,107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25.4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36,679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32.4</w:t>
            </w:r>
          </w:p>
        </w:tc>
        <w:tc>
          <w:tcPr>
            <w:tcW w:w="290" w:type="dxa"/>
            <w:tcBorders/>
            <w:shd w:fill="CCEEFF" w:val="clear"/>
            <w:vAlign w:val="center"/>
          </w:tcPr>
          <w:p>
            <w:pPr>
              <w:pStyle w:val="TableContents"/>
              <w:bidi w:val="0"/>
              <w:spacing w:before="0" w:after="283"/>
              <w:jc w:val="left"/>
              <w:rPr/>
            </w:pPr>
            <w:r>
              <w:rPr/>
              <w:t>%</w:t>
            </w:r>
          </w:p>
        </w:tc>
      </w:tr>
      <w:tr>
        <w:trPr/>
        <w:tc>
          <w:tcPr>
            <w:tcW w:w="1205" w:type="dxa"/>
            <w:tcBorders/>
            <w:vAlign w:val="center"/>
          </w:tcPr>
          <w:p>
            <w:pPr>
              <w:pStyle w:val="TableContents"/>
              <w:bidi w:val="0"/>
              <w:spacing w:before="0" w:after="283"/>
              <w:jc w:val="left"/>
              <w:rPr/>
            </w:pPr>
            <w:r>
              <w:rPr/>
              <w:t>Target</w:t>
            </w:r>
          </w:p>
        </w:tc>
        <w:tc>
          <w:tcPr>
            <w:tcW w:w="9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tcMar>
              <w:bottom w:w="28" w:type="dxa"/>
            </w:tcMar>
            <w:vAlign w:val="center"/>
          </w:tcPr>
          <w:p>
            <w:pPr>
              <w:pStyle w:val="TableContents"/>
              <w:bidi w:val="0"/>
              <w:spacing w:before="0" w:after="283"/>
              <w:jc w:val="right"/>
              <w:rPr/>
            </w:pPr>
            <w:r>
              <w:rPr/>
              <w:t>26,645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tcMar>
              <w:bottom w:w="28" w:type="dxa"/>
            </w:tcMar>
            <w:vAlign w:val="center"/>
          </w:tcPr>
          <w:p>
            <w:pPr>
              <w:pStyle w:val="TableContents"/>
              <w:bidi w:val="0"/>
              <w:spacing w:before="0" w:after="283"/>
              <w:jc w:val="right"/>
              <w:rPr/>
            </w:pPr>
            <w:r>
              <w:rPr/>
              <w:t>25.0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tcMar>
              <w:bottom w:w="28" w:type="dxa"/>
            </w:tcMar>
            <w:vAlign w:val="center"/>
          </w:tcPr>
          <w:p>
            <w:pPr>
              <w:pStyle w:val="TableContents"/>
              <w:bidi w:val="0"/>
              <w:spacing w:before="0" w:after="283"/>
              <w:jc w:val="right"/>
              <w:rPr/>
            </w:pPr>
            <w:r>
              <w:rPr/>
              <w:t>29,444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1037" w:type="dxa"/>
            <w:tcBorders>
              <w:bottom w:val="single" w:sz="8" w:space="0" w:color="000000"/>
            </w:tcBorders>
            <w:tcMar>
              <w:bottom w:w="28" w:type="dxa"/>
            </w:tcMar>
            <w:vAlign w:val="center"/>
          </w:tcPr>
          <w:p>
            <w:pPr>
              <w:pStyle w:val="TableContents"/>
              <w:bidi w:val="0"/>
              <w:spacing w:before="0" w:after="283"/>
              <w:jc w:val="right"/>
              <w:rPr/>
            </w:pPr>
            <w:r>
              <w:rPr/>
              <w:t>26.0</w:t>
            </w:r>
          </w:p>
        </w:tc>
        <w:tc>
          <w:tcPr>
            <w:tcW w:w="290"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double" w:sz="6" w:space="0" w:color="000000"/>
            </w:tcBorders>
            <w:shd w:fill="CCEEFF" w:val="clear"/>
            <w:tcMar>
              <w:bottom w:w="28" w:type="dxa"/>
            </w:tcMar>
            <w:vAlign w:val="center"/>
          </w:tcPr>
          <w:p>
            <w:pPr>
              <w:pStyle w:val="TableContents"/>
              <w:bidi w:val="0"/>
              <w:spacing w:before="0" w:after="283"/>
              <w:jc w:val="right"/>
              <w:rPr/>
            </w:pPr>
            <w:r>
              <w:rPr/>
              <w:t>53,752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50.4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9" w:type="dxa"/>
            <w:tcBorders>
              <w:bottom w:val="double" w:sz="6" w:space="0" w:color="000000"/>
            </w:tcBorders>
            <w:shd w:fill="CCEEFF" w:val="clear"/>
            <w:tcMar>
              <w:bottom w:w="28" w:type="dxa"/>
            </w:tcMar>
            <w:vAlign w:val="center"/>
          </w:tcPr>
          <w:p>
            <w:pPr>
              <w:pStyle w:val="TableContents"/>
              <w:bidi w:val="0"/>
              <w:spacing w:before="0" w:after="283"/>
              <w:jc w:val="right"/>
              <w:rPr/>
            </w:pPr>
            <w:r>
              <w:rPr/>
              <w:t>66,123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pPr>
            <w:r>
              <w:rPr/>
              <w:t>58.4</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2"/>
        <w:gridCol w:w="9965"/>
      </w:tblGrid>
      <w:tr>
        <w:trPr/>
        <w:tc>
          <w:tcPr>
            <w:tcW w:w="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year ended December 31, 2025, the Company determined that, in prior periods, net sales to two subsidiaries of Walmart Inc., were not aggregated with net sales to Walmart Inc. in the major customer disclosure under ASC 280-10-50-42. Because these entities are under common control, such sales should be presented as revenues from a single customer. Accordingly, prior-period amounts have been revised to aggregate these net sales amounts to Walmart Inc. and its subsidiaries. This revision affected only the major customer disclosure and had no impact on the Company’s condensed consolidated financial statements for any period presented. The Company concluded that the revision was not material to previously issued financial statements.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customer accounted for more than 10% of the Company’s total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the Company’s business with a relatively small number of customers may expose the Company to material adverse effects if one or more of its large customers were to experience financial difficulty. The Company performs ongoing credit evaluations of its top customers and maintains an allowance for potential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3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which includes the ex-factory cost of goods, capitalized warehouse costs, and in-bound freight and duty, is valued at the lower of cost or net realizable value, net of inventory obsolescence reserve, and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453" w:type="dxa"/>
        <w:jc w:val="left"/>
        <w:tblInd w:w="0" w:type="dxa"/>
        <w:tblLayout w:type="fixed"/>
        <w:tblCellMar>
          <w:top w:w="0" w:type="dxa"/>
          <w:left w:w="0" w:type="dxa"/>
          <w:bottom w:w="0" w:type="dxa"/>
          <w:right w:w="0" w:type="dxa"/>
        </w:tblCellMar>
      </w:tblPr>
      <w:tblGrid>
        <w:gridCol w:w="1505"/>
        <w:gridCol w:w="90"/>
        <w:gridCol w:w="212"/>
        <w:gridCol w:w="887"/>
        <w:gridCol w:w="90"/>
        <w:gridCol w:w="90"/>
        <w:gridCol w:w="278"/>
        <w:gridCol w:w="1166"/>
        <w:gridCol w:w="135"/>
      </w:tblGrid>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52,854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59,805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inventory obsolescence reserve was $2.9 million and $2.4 million as of March 31,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Revenue Recognition and Reserve for Sales Returns and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with customers only include one performance obligation (i.e., sale of the Company’s products). Revenue is recognized in the gross amount at a point in time when delivery is completed and control of the promised goods is transferred to the customers. Revenue is measured as the amount of consideration the Company expects to be entitled to in exchange for those goods. The Company’s contracts do not involve financing elements as payment terms with customers are less than one year. Further, because revenue is recognized at the point in time goods are sold to customers, there are no contract assets or contract liability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disaggregates its revenues from contracts with customers by reporting segment: Toys/Consumer Products and Costumes. The Company further disaggregates revenues by major geographic regions (See Note 2 - Business Segments, Geographic Data and Sales by Major Customers,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offers various discounts, pricing concessions, and other allowances to customers, all of which are considered in determining the transaction price. Certain discounts and allowances are fixed and determinable at the time of sale and are recorded at the time of sale as a reduction to revenue. Other discounts and allowances can vary and are determined at management’s discretion (variable consideration). Specifically, the Company occasionally grants discretionary credits to facilitate markdowns and sales of slow-moving merchandise, and consequently accrues an allowance based on historic credits and management estimates. The Company also participates in cooperative advertising arrangements with some customers, whereby it allows a discount from invoiced product amounts in exchange for customer purchased advertising that features the Company’s products. Generally, these allowances range from 1% to 30% of gross sales and are generally based upon product purchases or specific advertising campaigns. Such allowances are accrued when the related revenue is recognized. To the extent these cooperative advertising arrangements provide a distinct benefit at fair value, they are accounted for as direct selling expenses, otherwise they are recorded as a reduction to revenue. Further, while the Company generally does not allow product returns, the Company does make occasional exceptions to this policy and consequently records a sales return allowance based upon historic return amounts and management estimates. These allowances (variable consideration) are estimated using the expected value method and are recorded at the time of sale as a reduction to revenue. The Company adjusts its estimate of variable consideration at least quarterly or when facts and circumstances used in the estimation process may change. The variable consideration is not constrained as the Company has sufficient history on the related estimates and does not believe there is a risk of significant revenue reversal.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commissions are expensed when incurred as the related revenue is recognized at a point in time and therefore the amortization period is less than one year. As a result, these costs are recorded as direct selling expenses, as incurred. For the three months ended March 31, 2026 and 2025, sales commissions were $0.5 million and $0.4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Shipping and handling activities are considered part of the Company’s obligation to transfer the products and therefore are recorded as direct selling expenses, as incurred. For the three months ended March 31, 2026 and 2025, shipping and handling costs were $1.7 million and $2.3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JPMorgan Chase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2021, the Company and certain of its subsidiaries, as borrowers, entered into a Credit Agreement (the “JPMorgan ABL Credit Agreement”) with JPMorgan Chase Bank, N.A., as agent and lender, providing a $67.5 million senior secured revolving credit facility (the “JPMorgan ABL Facility”) maturing in June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in connection with the execution of a new credit facility with BMO Bank, N.A., the Company voluntarily terminated the JPMorgan ABL Facility. At the time of termination, there were no borrowings outstanding under the JPMorgan ABL Facility. The termination of the JPMorgan ABL Facility did not result in any prepayment penalties or early termination fees. Unamortized debt issuance costs associated with the JPMorgan ABL Facility were written off and recorded as a loss on extinguishment of debt in the amount of $0.4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JPMorgan ABL Facility was replaced with a new senior secured revolving credit facility with BMO Bank, N.A.,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BMO Bank, N.A.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the Company and certain of its subsidiaries entered into a new Credit Agreement (the “BMO Credit Agreement”) with BMO Bank, N.A., as administrative agent, and a syndicate of lenders. The BMO Credit Agreement provides for a senior secured revolving credit facility (the “Revolving Facility”) with aggregate commitments of up to $70.0 million, including a $10.0 million sublimit for swingline loans and a $25.0 million sublimit for letters of credit. The Revolving Facility matures on June 24, 2030, unless extended pursuant to its terms. Capitalized terms used below have the meanings assigned to them in the BMO Credit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under the Revolving Facility bear interest, at the Company’s election, either (i) the Adjusted Term Secured Overnight Financing Rate (“SOFR”) plus an applicable margin or (ii) the Base Rate plus an applicable margin. The applicable margin varies based on the Company’s Total Net Leverage Ratio and ranges from 1.50% to 2.00% for SOFR loans and from 0.50% to 1.00% for Base Rate loans. The Company is also subject to a commitment fee on the unused portion of the Revolving Facility ranging from 0.20% to 0.30%, and a fee on outstanding letters of credit ranging from 1.50% to 2.00%.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BMO Credit Agreement contains customary affirmative and negative covenants, including limitations on indebtedness, liens, investments, asset sales and dividends. Financial covenants include a minimum Consolidated Interest Coverage Ratio of 3.00 to 1.00, and maximum Total Net Leverage Ratio of 2.00 to 1.00, tested quarterly.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BMO Credit Agreement are guaranteed by certain of the Company’s U.S., Canadian and Hong Kong subsidiaries and are secured by substantially all of the assets of the Company and certain of its subsidiaries, including equity interests in certain subsidiaries, subject to certain customary exclusions.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amount of outstanding borrowings was nil and the total excess borrowing availability was $68.3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off-balance sheet arrangements include letters of credit issued by BMO of $1.7 million and JPMorgan of $0.9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was in compliance with the financial covenants under the BMO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6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income tax benefit of $0.8 million for the three months ended March 31, 2026, reflects an effective tax rate of 16.6%. The Company’s income tax benefit of $1.2 million for the three months ended March 31, 2025, reflects an effective tax rate of 32.8%. The tax benefit for the three months ended March 31, 2026 and 2025 primarily relates to the overall worldwide loss (i.e. federal, state, and foreign) partially offset by discrete items.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in the normal course of business, the Company may be audited by federal, state and foreign tax authorities. At this time, the Company has at least one audit underway. The Company currently cannot assess the impact of the outcome on its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7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a reconciliation of the weighted average shares used in the computation of loss per share for the periods presented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6395"/>
        <w:gridCol w:w="90"/>
        <w:gridCol w:w="197"/>
        <w:gridCol w:w="826"/>
        <w:gridCol w:w="145"/>
        <w:gridCol w:w="104"/>
        <w:gridCol w:w="197"/>
        <w:gridCol w:w="826"/>
        <w:gridCol w:w="170"/>
      </w:tblGrid>
      <w:tr>
        <w:trPr/>
        <w:tc>
          <w:tcPr>
            <w:tcW w:w="6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Three Months Ended </w:t>
              <w:br/>
              <w:t>March 31,</w:t>
            </w:r>
          </w:p>
        </w:tc>
        <w:tc>
          <w:tcPr>
            <w:tcW w:w="170" w:type="dxa"/>
            <w:tcBorders/>
            <w:vAlign w:val="center"/>
          </w:tcPr>
          <w:p>
            <w:pPr>
              <w:pStyle w:val="TableContents"/>
              <w:bidi w:val="0"/>
              <w:spacing w:before="0" w:after="283"/>
              <w:jc w:val="left"/>
              <w:rPr/>
            </w:pPr>
            <w:r>
              <w:rPr/>
              <w:t> </w:t>
            </w:r>
          </w:p>
        </w:tc>
      </w:tr>
      <w:tr>
        <w:trPr/>
        <w:tc>
          <w:tcPr>
            <w:tcW w:w="6395" w:type="dxa"/>
            <w:tcBorders>
              <w:bottom w:val="single" w:sz="8" w:space="0" w:color="000000"/>
            </w:tcBorders>
            <w:tcMar>
              <w:bottom w:w="28" w:type="dxa"/>
            </w:tcMar>
            <w:vAlign w:val="center"/>
          </w:tcPr>
          <w:p>
            <w:pPr>
              <w:pStyle w:val="TableContents"/>
              <w:bidi w:val="0"/>
              <w:spacing w:before="0" w:after="283"/>
              <w:jc w:val="left"/>
              <w:rPr>
                <w:b/>
              </w:rPr>
            </w:pPr>
            <w:r>
              <w:rPr>
                <w:b/>
              </w:rPr>
              <w:t>Loss per share - basic and diluted</w:t>
            </w:r>
          </w:p>
        </w:tc>
        <w:tc>
          <w:tcPr>
            <w:tcW w:w="90"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(4,280</w:t>
            </w:r>
          </w:p>
        </w:tc>
        <w:tc>
          <w:tcPr>
            <w:tcW w:w="14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(2,382</w:t>
            </w:r>
          </w:p>
        </w:tc>
        <w:tc>
          <w:tcPr>
            <w:tcW w:w="170" w:type="dxa"/>
            <w:tcBorders/>
            <w:shd w:fill="CCEEFF" w:val="clear"/>
            <w:vAlign w:val="center"/>
          </w:tcPr>
          <w:p>
            <w:pPr>
              <w:pStyle w:val="TableContents"/>
              <w:bidi w:val="0"/>
              <w:spacing w:before="0" w:after="283"/>
              <w:jc w:val="left"/>
              <w:rPr/>
            </w:pPr>
            <w:r>
              <w:rPr/>
              <w:t>)</w:t>
            </w:r>
          </w:p>
        </w:tc>
      </w:tr>
      <w:tr>
        <w:trPr/>
        <w:tc>
          <w:tcPr>
            <w:tcW w:w="6395" w:type="dxa"/>
            <w:tcBorders/>
            <w:vAlign w:val="center"/>
          </w:tcPr>
          <w:p>
            <w:pPr>
              <w:pStyle w:val="TableContents"/>
              <w:bidi w:val="0"/>
              <w:spacing w:before="0" w:after="283"/>
              <w:jc w:val="left"/>
              <w:rPr/>
            </w:pPr>
            <w:r>
              <w:rPr/>
              <w:t>Weighted average common shares outstanding - basic and diluted</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tcMar>
              <w:bottom w:w="28" w:type="dxa"/>
            </w:tcMar>
            <w:vAlign w:val="center"/>
          </w:tcPr>
          <w:p>
            <w:pPr>
              <w:pStyle w:val="TableContents"/>
              <w:bidi w:val="0"/>
              <w:spacing w:before="0" w:after="283"/>
              <w:jc w:val="right"/>
              <w:rPr/>
            </w:pPr>
            <w:r>
              <w:rPr/>
              <w:t>11,444</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tcMar>
              <w:bottom w:w="28" w:type="dxa"/>
            </w:tcMar>
            <w:vAlign w:val="center"/>
          </w:tcPr>
          <w:p>
            <w:pPr>
              <w:pStyle w:val="TableContents"/>
              <w:bidi w:val="0"/>
              <w:spacing w:before="0" w:after="283"/>
              <w:jc w:val="right"/>
              <w:rPr/>
            </w:pPr>
            <w:r>
              <w:rPr/>
              <w:t>11,146</w:t>
            </w:r>
          </w:p>
        </w:tc>
        <w:tc>
          <w:tcPr>
            <w:tcW w:w="170" w:type="dxa"/>
            <w:tcBorders/>
            <w:vAlign w:val="center"/>
          </w:tcPr>
          <w:p>
            <w:pPr>
              <w:pStyle w:val="TableContents"/>
              <w:bidi w:val="0"/>
              <w:spacing w:before="0" w:after="283"/>
              <w:jc w:val="left"/>
              <w:rPr/>
            </w:pPr>
            <w:r>
              <w:rPr/>
              <w:t> </w:t>
            </w:r>
          </w:p>
        </w:tc>
      </w:tr>
      <w:tr>
        <w:trPr/>
        <w:tc>
          <w:tcPr>
            <w:tcW w:w="6395" w:type="dxa"/>
            <w:tcBorders/>
            <w:shd w:fill="CCEEFF" w:val="clear"/>
            <w:vAlign w:val="center"/>
          </w:tcPr>
          <w:p>
            <w:pPr>
              <w:pStyle w:val="TableContents"/>
              <w:bidi w:val="0"/>
              <w:spacing w:before="0" w:after="283"/>
              <w:jc w:val="left"/>
              <w:rPr/>
            </w:pPr>
            <w:r>
              <w:rPr/>
              <w:t>Loss per share available to common stockholder - basic and diluted</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pPr>
            <w:r>
              <w:rPr/>
              <w:t>(0.37</w:t>
            </w:r>
          </w:p>
        </w:tc>
        <w:tc>
          <w:tcPr>
            <w:tcW w:w="14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pPr>
            <w:r>
              <w:rPr/>
              <w:t>(0.21</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calculated using the weighted average number of common shares outstanding during the period. Diluted loss per share is calculated using the weighted average number of common shares and common share equivalents outstanding during the period (which consist of restricted stock units to the extent they are dilutive). Restricted stock units of 377,755 and 359,344 for the three months ended March 31, 2026 and 2025, respectively, were excluded from the computation of diluted loss per share. Of the RSUs excluded for 2026, 105,609 were anti-dilutive based on their terms, while 272,146 would have been dilutive if the Company had reported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issuances of common stock, including those issued pursuant to restricted stock or unit grants, are issued from the Company’s authorized but not issued and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certain employees, including two executive officers, surrendered an aggregate of 74,652 shares of restricted stock units for $1.3 million to cover income taxes due for the vesting of restricted shares. No forfeitures occurred during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certain employees, including two executive officers, surrendered an aggregate of 135,672 shares of restricted stock units for $3.8 million to cover income taxes due for the vesting of restricted shares. Additionally, an aggregate of 1,357 shares of restricted stock granted in 2023 and 2024 with a value of approximately $38.1 thousand was forfeited during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quarterly dividend of $0.25 per share for owners of record as of February 27, 2026 was declared on February 18, 2026 and paid on March 30, 2026. A quarterly dividend of $0.25 per share for owners of record as of March 3, 2025 was declared on February 18, 2025 and paid on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2022, the Company entered into an At the Market Issuance Sales Agreement (“ATM Agreement”) with B. Riley, as agent pursuant to which the Company may, from time to time, sell shares of its common stock, up to $75.0 million of common stock, in one or more offerings in amounts, prices and at terms that the Company will determine at the time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did not sell any shares of common stock under the ATM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 filed with the SEC a shelf registration statement pursuant to which it may issue, from time to time, up to $150.0 million of securities (which will be reduced by any amount of securities sold pursuant to the ATM Agreement) consisting of, or any combination of, common stock, preferred stock, debt securities, warrants, rights and/or units, in one or more offerings in amounts, prices and at terms that the Company will determine at the time of the offering. This registration statement replaced an essentially similar one filed in October 2022, which expired by law on its three-year anniversary. No shares were sold under such prior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has not sold any securities pursuant to its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9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value-based impairment test to the carrying value of goodwill and indefinite-lived intangible assets on an annual basis and, on an interim basis, if certain events or circumstances indicate that an impairment loss may have been incurred. Goodwill impairment exists when the estimated fair value of goodwill is less than its carrying value. For the three months ended March 31, 2026, there were no events or circumstances that indicated that an impairment loss may have been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10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components of the Company’s comprehensive loss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6298" w:type="dxa"/>
        <w:jc w:val="left"/>
        <w:tblInd w:w="0" w:type="dxa"/>
        <w:tblLayout w:type="fixed"/>
        <w:tblCellMar>
          <w:top w:w="0" w:type="dxa"/>
          <w:left w:w="0" w:type="dxa"/>
          <w:bottom w:w="0" w:type="dxa"/>
          <w:right w:w="0" w:type="dxa"/>
        </w:tblCellMar>
      </w:tblPr>
      <w:tblGrid>
        <w:gridCol w:w="3800"/>
        <w:gridCol w:w="90"/>
        <w:gridCol w:w="202"/>
        <w:gridCol w:w="790"/>
        <w:gridCol w:w="148"/>
        <w:gridCol w:w="106"/>
        <w:gridCol w:w="202"/>
        <w:gridCol w:w="790"/>
        <w:gridCol w:w="170"/>
      </w:tblGrid>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vAlign w:val="center"/>
          </w:tcPr>
          <w:p>
            <w:pPr>
              <w:pStyle w:val="TableContents"/>
              <w:bidi w:val="0"/>
              <w:spacing w:before="0" w:after="283"/>
              <w:jc w:val="center"/>
              <w:rPr>
                <w:b/>
              </w:rPr>
            </w:pPr>
            <w:r>
              <w:rPr>
                <w:b/>
              </w:rPr>
              <w:t>Three Months Ended</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7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b/>
              </w:rPr>
            </w:pPr>
            <w:r>
              <w:rPr>
                <w:b/>
              </w:rPr>
              <w:t>Net loss</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(4,280</w:t>
            </w:r>
          </w:p>
        </w:tc>
        <w:tc>
          <w:tcPr>
            <w:tcW w:w="14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(2,382</w:t>
            </w:r>
          </w:p>
        </w:tc>
        <w:tc>
          <w:tcPr>
            <w:tcW w:w="170" w:type="dxa"/>
            <w:tcBorders/>
            <w:shd w:fill="CCEEFF" w:val="clear"/>
            <w:vAlign w:val="center"/>
          </w:tcPr>
          <w:p>
            <w:pPr>
              <w:pStyle w:val="TableContents"/>
              <w:bidi w:val="0"/>
              <w:spacing w:before="0" w:after="283"/>
              <w:jc w:val="left"/>
              <w:rPr/>
            </w:pPr>
            <w:r>
              <w:rPr/>
              <w:t>)</w:t>
            </w:r>
          </w:p>
        </w:tc>
      </w:tr>
      <w:tr>
        <w:trPr/>
        <w:tc>
          <w:tcPr>
            <w:tcW w:w="3800"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 </w:t>
            </w:r>
          </w:p>
        </w:tc>
        <w:tc>
          <w:tcPr>
            <w:tcW w:w="148"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(1,801</w:t>
            </w:r>
          </w:p>
        </w:tc>
        <w:tc>
          <w:tcPr>
            <w:tcW w:w="148" w:type="dxa"/>
            <w:tcBorders/>
            <w:shd w:fill="CCEEFF" w:val="clear"/>
            <w:vAlign w:val="center"/>
          </w:tcPr>
          <w:p>
            <w:pPr>
              <w:pStyle w:val="TableContents"/>
              <w:bidi w:val="0"/>
              <w:spacing w:before="0" w:after="283"/>
              <w:jc w:val="left"/>
              <w:rPr/>
            </w:pPr>
            <w:r>
              <w:rPr/>
              <w:t>)</w:t>
            </w:r>
          </w:p>
        </w:tc>
        <w:tc>
          <w:tcPr>
            <w:tcW w:w="106"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8" w:space="0" w:color="000000"/>
            </w:tcBorders>
            <w:shd w:fill="CCEEFF" w:val="clear"/>
            <w:tcMar>
              <w:bottom w:w="28" w:type="dxa"/>
            </w:tcMar>
            <w:vAlign w:val="center"/>
          </w:tcPr>
          <w:p>
            <w:pPr>
              <w:pStyle w:val="TableContents"/>
              <w:bidi w:val="0"/>
              <w:spacing w:before="0" w:after="283"/>
              <w:jc w:val="right"/>
              <w:rPr/>
            </w:pPr>
            <w:r>
              <w:rPr/>
              <w:t>628</w:t>
            </w:r>
          </w:p>
        </w:tc>
        <w:tc>
          <w:tcPr>
            <w:tcW w:w="170" w:type="dxa"/>
            <w:tcBorders/>
            <w:shd w:fill="CCEEFF" w:val="cle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202" w:type="dxa"/>
            <w:tcBorders>
              <w:bottom w:val="double" w:sz="6" w:space="0" w:color="000000"/>
            </w:tcBorders>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tcMar>
              <w:bottom w:w="28" w:type="dxa"/>
            </w:tcMar>
            <w:vAlign w:val="center"/>
          </w:tcPr>
          <w:p>
            <w:pPr>
              <w:pStyle w:val="TableContents"/>
              <w:bidi w:val="0"/>
              <w:spacing w:before="0" w:after="283"/>
              <w:jc w:val="right"/>
              <w:rPr/>
            </w:pPr>
            <w:r>
              <w:rPr/>
              <w:t>(6,081</w:t>
            </w:r>
          </w:p>
        </w:tc>
        <w:tc>
          <w:tcPr>
            <w:tcW w:w="148" w:type="dxa"/>
            <w:tcBorders/>
            <w:vAlign w:val="center"/>
          </w:tcPr>
          <w:p>
            <w:pPr>
              <w:pStyle w:val="TableContents"/>
              <w:bidi w:val="0"/>
              <w:spacing w:before="0" w:after="283"/>
              <w:jc w:val="left"/>
              <w:rPr/>
            </w:pPr>
            <w:r>
              <w:rPr/>
              <w:t>)</w:t>
            </w:r>
          </w:p>
        </w:tc>
        <w:tc>
          <w:tcPr>
            <w:tcW w:w="106" w:type="dxa"/>
            <w:tcBorders/>
            <w:vAlign w:val="center"/>
          </w:tcPr>
          <w:p>
            <w:pPr>
              <w:pStyle w:val="TableContents"/>
              <w:bidi w:val="0"/>
              <w:spacing w:before="0" w:after="283"/>
              <w:jc w:val="left"/>
              <w:rPr/>
            </w:pPr>
            <w:r>
              <w:rPr/>
              <w:t> </w:t>
            </w:r>
          </w:p>
        </w:tc>
        <w:tc>
          <w:tcPr>
            <w:tcW w:w="202" w:type="dxa"/>
            <w:tcBorders>
              <w:bottom w:val="double" w:sz="6" w:space="0" w:color="000000"/>
            </w:tcBorders>
            <w:tcMar>
              <w:bottom w:w="28" w:type="dxa"/>
            </w:tcMar>
            <w:vAlign w:val="center"/>
          </w:tcPr>
          <w:p>
            <w:pPr>
              <w:pStyle w:val="TableContents"/>
              <w:bidi w:val="0"/>
              <w:spacing w:before="0" w:after="283"/>
              <w:jc w:val="left"/>
              <w:rPr/>
            </w:pPr>
            <w:r>
              <w:rPr/>
              <w:t>$</w:t>
            </w:r>
          </w:p>
        </w:tc>
        <w:tc>
          <w:tcPr>
            <w:tcW w:w="790" w:type="dxa"/>
            <w:tcBorders>
              <w:bottom w:val="double" w:sz="6" w:space="0" w:color="000000"/>
            </w:tcBorders>
            <w:tcMar>
              <w:bottom w:w="28" w:type="dxa"/>
            </w:tcMar>
            <w:vAlign w:val="center"/>
          </w:tcPr>
          <w:p>
            <w:pPr>
              <w:pStyle w:val="TableContents"/>
              <w:bidi w:val="0"/>
              <w:spacing w:before="0" w:after="283"/>
              <w:jc w:val="right"/>
              <w:rPr/>
            </w:pPr>
            <w:r>
              <w:rPr/>
              <w:t>(1,754</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11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Litigation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party to, and certain of its property is the subject of, various pending claims and legal proceedings that routinely arise in the ordinary course of its business. The Company accrues for losses when the loss is deemed probable and the liability can reasonably be estimated. Where a liability is probable and there is a range of estimated loss with no best estimate in the range, the Company records the minimum estimated liability related to the claim. As additional information becomes available, the Company assesses the potential liability related to its pending litigation and revises its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provide certain indemnifications and/or other commitments of varying scope to a) its licensors, customers and certain other parties, including against third-party claims of intellectual property infringement, and b) its officers, directors and employees, including against third-party claims regarding the periods in which they serve in such capacities with the Company. The duration and amount of such obligations is, in certain cases, indefinite. The Company’s director’s and officer’s liability insurance policy may, however, enable it to recover a portion of any future payments related to its officer, director or employee indemnifications. For the past five years, costs related to director and officer indemnifications have not been significant. Other than certain liabilities recorded in the normal course of business related to royalty payments due to the Company’s licensors, no liabilities have been recorded for indemnifications and/or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12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2002 Stock Award and Incentive Plan (the “Plan”), as amended, provides for the awarding of stock options, restricted stock and restricted stock units to certain key employees, executive officers and non-employee directors. Current awards under the Plan include grants to executive officers and certain key employees of restricted stock units, with vesting contingent upon the completion of specified service periods ranging from one to four years and/or (b) meeting certain financial performance and/or market-based metrics. Shares for the restricted stock units are not issued until they vest.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share-based compensation expense recognized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5873" w:type="dxa"/>
        <w:jc w:val="left"/>
        <w:tblInd w:w="0" w:type="dxa"/>
        <w:tblLayout w:type="fixed"/>
        <w:tblCellMar>
          <w:top w:w="0" w:type="dxa"/>
          <w:left w:w="0" w:type="dxa"/>
          <w:bottom w:w="0" w:type="dxa"/>
          <w:right w:w="0" w:type="dxa"/>
        </w:tblCellMar>
      </w:tblPr>
      <w:tblGrid>
        <w:gridCol w:w="3410"/>
        <w:gridCol w:w="90"/>
        <w:gridCol w:w="224"/>
        <w:gridCol w:w="777"/>
        <w:gridCol w:w="118"/>
        <w:gridCol w:w="118"/>
        <w:gridCol w:w="224"/>
        <w:gridCol w:w="777"/>
        <w:gridCol w:w="135"/>
      </w:tblGrid>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vAlign w:val="center"/>
          </w:tcPr>
          <w:p>
            <w:pPr>
              <w:pStyle w:val="TableContents"/>
              <w:bidi w:val="0"/>
              <w:spacing w:before="0" w:after="283"/>
              <w:jc w:val="center"/>
              <w:rPr>
                <w:b/>
              </w:rPr>
            </w:pPr>
            <w:r>
              <w:rPr>
                <w:b/>
              </w:rPr>
              <w:t>Three Months Ended</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March 31,</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0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Share-based compensation expense</w:t>
            </w:r>
          </w:p>
        </w:tc>
        <w:tc>
          <w:tcPr>
            <w:tcW w:w="9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pPr>
            <w:r>
              <w:rPr/>
              <w:t>3,081</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7" w:type="dxa"/>
            <w:tcBorders>
              <w:bottom w:val="double" w:sz="6" w:space="0" w:color="000000"/>
            </w:tcBorders>
            <w:shd w:fill="CCEEFF" w:val="clear"/>
            <w:tcMar>
              <w:bottom w:w="28" w:type="dxa"/>
            </w:tcMar>
            <w:vAlign w:val="center"/>
          </w:tcPr>
          <w:p>
            <w:pPr>
              <w:pStyle w:val="TableContents"/>
              <w:bidi w:val="0"/>
              <w:spacing w:before="0" w:after="283"/>
              <w:jc w:val="right"/>
              <w:rPr/>
            </w:pPr>
            <w:r>
              <w:rPr/>
              <w:t>2,552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RSU award activity for awards with service conditions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215"/>
        <w:gridCol w:w="90"/>
        <w:gridCol w:w="99"/>
        <w:gridCol w:w="1120"/>
        <w:gridCol w:w="125"/>
        <w:gridCol w:w="90"/>
        <w:gridCol w:w="393"/>
        <w:gridCol w:w="1366"/>
        <w:gridCol w:w="135"/>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 </w:t>
              <w:br/>
              <w:t>Average</w:t>
              <w:br/>
              <w:t xml:space="preserve">Grant Date Fair </w:t>
              <w:br/>
              <w:t>Value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1,117,068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21.03</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pPr>
            <w:r>
              <w:rPr/>
              <w:t>263,556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16.88</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20" w:type="dxa"/>
            <w:tcBorders/>
            <w:shd w:fill="CCEEFF" w:val="clear"/>
            <w:vAlign w:val="center"/>
          </w:tcPr>
          <w:p>
            <w:pPr>
              <w:pStyle w:val="TableContents"/>
              <w:bidi w:val="0"/>
              <w:spacing w:before="0" w:after="283"/>
              <w:jc w:val="right"/>
              <w:rPr/>
            </w:pPr>
            <w:r>
              <w:rPr/>
              <w:t>(176,082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24.86</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99" w:type="dxa"/>
            <w:tcBorders>
              <w:bottom w:val="single" w:sz="8" w:space="0" w:color="000000"/>
            </w:tcBorders>
            <w:tcMar>
              <w:bottom w:w="28" w:type="dxa"/>
            </w:tcMar>
            <w:vAlign w:val="center"/>
          </w:tcPr>
          <w:p>
            <w:pPr>
              <w:pStyle w:val="TableContents"/>
              <w:bidi w:val="0"/>
              <w:spacing w:before="0" w:after="283"/>
              <w:jc w:val="left"/>
              <w:rPr/>
            </w:pPr>
            <w:r>
              <w:rPr/>
              <w:t> </w:t>
            </w:r>
          </w:p>
        </w:tc>
        <w:tc>
          <w:tcPr>
            <w:tcW w:w="1120" w:type="dxa"/>
            <w:tcBorders>
              <w:bottom w:val="single" w:sz="8" w:space="0" w:color="000000"/>
            </w:tcBorders>
            <w:tcMar>
              <w:bottom w:w="28" w:type="dxa"/>
            </w:tcMar>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March 31, 2026</w:t>
            </w:r>
          </w:p>
        </w:tc>
        <w:tc>
          <w:tcPr>
            <w:tcW w:w="9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0" w:type="dxa"/>
            <w:tcBorders>
              <w:bottom w:val="double" w:sz="6" w:space="0" w:color="000000"/>
            </w:tcBorders>
            <w:shd w:fill="CCEEFF" w:val="clear"/>
            <w:tcMar>
              <w:bottom w:w="28" w:type="dxa"/>
            </w:tcMar>
            <w:vAlign w:val="center"/>
          </w:tcPr>
          <w:p>
            <w:pPr>
              <w:pStyle w:val="TableContents"/>
              <w:bidi w:val="0"/>
              <w:spacing w:before="0" w:after="283"/>
              <w:jc w:val="right"/>
              <w:rPr/>
            </w:pPr>
            <w:r>
              <w:rPr/>
              <w:t>1,204,542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19.56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RSU award activity for awards with market conditions for the three months ended March 31, 2026:</w:t>
      </w:r>
    </w:p>
    <w:p>
      <w:pPr>
        <w:pStyle w:val="TextBody"/>
        <w:bidi w:val="0"/>
        <w:spacing w:before="0" w:after="0"/>
        <w:ind w:left="0" w:right="0" w:hanging="0"/>
        <w:jc w:val="left"/>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3215"/>
        <w:gridCol w:w="90"/>
        <w:gridCol w:w="119"/>
        <w:gridCol w:w="1100"/>
        <w:gridCol w:w="90"/>
        <w:gridCol w:w="90"/>
        <w:gridCol w:w="393"/>
        <w:gridCol w:w="1366"/>
        <w:gridCol w:w="135"/>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5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 </w:t>
              <w:br/>
              <w:t>Average</w:t>
              <w:br/>
              <w:t xml:space="preserve">Grant Date Fair </w:t>
              <w:br/>
              <w:t>Value</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w:t>
            </w:r>
          </w:p>
        </w:tc>
        <w:tc>
          <w:tcPr>
            <w:tcW w:w="1366" w:type="dxa"/>
            <w:tcBorders/>
            <w:shd w:fill="CCEEFF" w:val="clear"/>
            <w:vAlign w:val="center"/>
          </w:tcPr>
          <w:p>
            <w:pPr>
              <w:pStyle w:val="TableContents"/>
              <w:bidi w:val="0"/>
              <w:spacing w:before="0" w:after="283"/>
              <w:jc w:val="right"/>
              <w:rPr/>
            </w:pPr>
            <w:r>
              <w:rPr/>
              <w:t>20.79</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Forfeited</w:t>
            </w:r>
          </w:p>
        </w:tc>
        <w:tc>
          <w:tcPr>
            <w:tcW w:w="90" w:type="dxa"/>
            <w:tcBorders/>
            <w:vAlign w:val="center"/>
          </w:tcPr>
          <w:p>
            <w:pPr>
              <w:pStyle w:val="TableContents"/>
              <w:bidi w:val="0"/>
              <w:spacing w:before="0" w:after="283"/>
              <w:jc w:val="left"/>
              <w:rPr/>
            </w:pPr>
            <w:r>
              <w:rPr/>
              <w:t> </w:t>
            </w:r>
          </w:p>
        </w:tc>
        <w:tc>
          <w:tcPr>
            <w:tcW w:w="119" w:type="dxa"/>
            <w:tcBorders>
              <w:bottom w:val="single" w:sz="8" w:space="0" w:color="000000"/>
            </w:tcBorders>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366"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Outstanding, March 31, 2026</w:t>
            </w:r>
          </w:p>
        </w:tc>
        <w:tc>
          <w:tcPr>
            <w:tcW w:w="90" w:type="dxa"/>
            <w:tcBorders/>
            <w:shd w:fill="CCEEFF" w:val="clear"/>
            <w:vAlign w:val="center"/>
          </w:tcPr>
          <w:p>
            <w:pPr>
              <w:pStyle w:val="TableContents"/>
              <w:bidi w:val="0"/>
              <w:spacing w:before="0" w:after="283"/>
              <w:jc w:val="left"/>
              <w:rPr/>
            </w:pPr>
            <w:r>
              <w:rPr/>
              <w:t> </w:t>
            </w:r>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112,500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20.79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was $19.8 million of total unrecognized compensation cost related to non-vested restricted stock units, which is expected to be recognized over a weighted-average period of 2.0 years.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fair market value of non-vested restricted stock units was $26.2 million.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13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the price that would be received to sell an asset or paid to transfer a liability in an orderly transaction between market participants at the measurement date. In determining fair value, the Company uses various methods including market, income and cost approaches. Based upon these approaches, the Company often utilizes certain assumptions that market participants would use in pricing the asset or liability, including assumptions about risk and/or the risks inherent in the inputs to the valuation technique. These inputs can be readily observable, market-corroborated, or unobservable inputs. The Company utilizes valuation techniques that maximize the use of observable inputs and minimize the use of unobservable inputs. Based upon observable inputs used in the valuation techniques, the Company is required to provide information according to the fair value hierarchy. The fair value hierarchy ranks the quality and reliability of the information used to determine fair values into three broad levels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44"/>
        <w:gridCol w:w="9456"/>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for assets and liabilities traded in active markets from readily available pricing sources for market transactions involving identical assets or liabilities.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9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for assets and liabilities traded in less active dealer or broker markets. Valuations are obtained from third-party pricing services for identical or similar assets or liabilities.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4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Valuations incorporate certain assumptions and projections in determining the fair value assigned to such assets or liabilities.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instances where the determination of the fair value measurement is based upon inputs from different levels of the fair value hierarchy, the level in the fair value hierarchy within which the entire fair value measurement falls is based upon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financial assets and liabilities measured at fair value on a recurring basis as of March 31, 2026 and December 31, 2025 (in thousands):</w:t>
      </w:r>
    </w:p>
    <w:p>
      <w:pPr>
        <w:pStyle w:val="TextBody"/>
        <w:bidi w:val="0"/>
        <w:spacing w:before="0" w:after="0"/>
        <w:ind w:left="0" w:right="0" w:hanging="0"/>
        <w:jc w:val="left"/>
        <w:rPr>
          <w:caps w:val="false"/>
          <w:smallCaps w:val="false"/>
        </w:rPr>
      </w:pPr>
      <w:r>
        <w:rPr>
          <w:caps w:val="false"/>
          <w:smallCaps w:val="false"/>
        </w:rPr>
        <w:t> </w:t>
      </w:r>
    </w:p>
    <w:tbl>
      <w:tblPr>
        <w:tblW w:w="10095" w:type="dxa"/>
        <w:jc w:val="left"/>
        <w:tblInd w:w="0" w:type="dxa"/>
        <w:tblLayout w:type="fixed"/>
        <w:tblCellMar>
          <w:top w:w="0" w:type="dxa"/>
          <w:left w:w="0" w:type="dxa"/>
          <w:bottom w:w="0" w:type="dxa"/>
          <w:right w:w="0" w:type="dxa"/>
        </w:tblCellMar>
      </w:tblPr>
      <w:tblGrid>
        <w:gridCol w:w="5165"/>
        <w:gridCol w:w="90"/>
        <w:gridCol w:w="273"/>
        <w:gridCol w:w="1141"/>
        <w:gridCol w:w="90"/>
        <w:gridCol w:w="90"/>
        <w:gridCol w:w="211"/>
        <w:gridCol w:w="884"/>
        <w:gridCol w:w="112"/>
        <w:gridCol w:w="112"/>
        <w:gridCol w:w="289"/>
        <w:gridCol w:w="495"/>
        <w:gridCol w:w="112"/>
        <w:gridCol w:w="112"/>
        <w:gridCol w:w="289"/>
        <w:gridCol w:w="495"/>
        <w:gridCol w:w="135"/>
      </w:tblGrid>
      <w:tr>
        <w:trPr/>
        <w:tc>
          <w:tcPr>
            <w:tcW w:w="51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Carrying</w:t>
              <w:br/>
              <w:t>Amount as of</w:t>
              <w:br/>
              <w:t>March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11"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Measurements</w:t>
              <w:br/>
              <w:t>As of March 31, 2026</w:t>
            </w:r>
          </w:p>
        </w:tc>
        <w:tc>
          <w:tcPr>
            <w:tcW w:w="13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40,265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884" w:type="dxa"/>
            <w:tcBorders/>
            <w:shd w:fill="CCEEFF" w:val="clear"/>
            <w:vAlign w:val="center"/>
          </w:tcPr>
          <w:p>
            <w:pPr>
              <w:pStyle w:val="TableContents"/>
              <w:bidi w:val="0"/>
              <w:spacing w:before="0" w:after="283"/>
              <w:jc w:val="right"/>
              <w:rPr/>
            </w:pPr>
            <w:r>
              <w:rPr/>
              <w:t>40,265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4,486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right"/>
              <w:rPr/>
            </w:pPr>
            <w:r>
              <w:rPr/>
              <w:t>4,486</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87" w:type="dxa"/>
        <w:jc w:val="left"/>
        <w:tblInd w:w="0" w:type="dxa"/>
        <w:tblLayout w:type="fixed"/>
        <w:tblCellMar>
          <w:top w:w="0" w:type="dxa"/>
          <w:left w:w="0" w:type="dxa"/>
          <w:bottom w:w="0" w:type="dxa"/>
          <w:right w:w="0" w:type="dxa"/>
        </w:tblCellMar>
      </w:tblPr>
      <w:tblGrid>
        <w:gridCol w:w="5165"/>
        <w:gridCol w:w="90"/>
        <w:gridCol w:w="284"/>
        <w:gridCol w:w="1190"/>
        <w:gridCol w:w="90"/>
        <w:gridCol w:w="90"/>
        <w:gridCol w:w="216"/>
        <w:gridCol w:w="903"/>
        <w:gridCol w:w="114"/>
        <w:gridCol w:w="114"/>
        <w:gridCol w:w="289"/>
        <w:gridCol w:w="495"/>
        <w:gridCol w:w="114"/>
        <w:gridCol w:w="114"/>
        <w:gridCol w:w="289"/>
        <w:gridCol w:w="495"/>
        <w:gridCol w:w="135"/>
      </w:tblGrid>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Carrying</w:t>
              <w:br/>
              <w:t xml:space="preserve">Amount as of </w:t>
              <w:br/>
              <w:t>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3"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 xml:space="preserve">Fair Value Measurements </w:t>
              <w:br/>
              <w:t>As of December 31, 2025</w:t>
            </w:r>
          </w:p>
        </w:tc>
        <w:tc>
          <w:tcPr>
            <w:tcW w:w="13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Money market funds</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33,062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903" w:type="dxa"/>
            <w:tcBorders/>
            <w:shd w:fill="CCEEFF" w:val="clear"/>
            <w:vAlign w:val="center"/>
          </w:tcPr>
          <w:p>
            <w:pPr>
              <w:pStyle w:val="TableContents"/>
              <w:bidi w:val="0"/>
              <w:spacing w:before="0" w:after="283"/>
              <w:jc w:val="right"/>
              <w:rPr/>
            </w:pPr>
            <w:r>
              <w:rPr/>
              <w:t>33,062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jc w:val="left"/>
              <w:rPr/>
            </w:pPr>
            <w:r>
              <w:rPr/>
              <w:t>$</w:t>
            </w:r>
          </w:p>
        </w:tc>
        <w:tc>
          <w:tcPr>
            <w:tcW w:w="49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Investments in employee deferred compensation trusts</w:t>
            </w:r>
          </w:p>
        </w:tc>
        <w:tc>
          <w:tcPr>
            <w:tcW w:w="90"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4,467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4,467</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funds are included in cash and cash equivalents on the condensed consolidated balance sheets. Investments in employee deferred compensation trusts which are comprised of mutual funds are classified as trading securities are included in prepaid and other assets on the condensed consolidated balance sheets. For the three months ended March 31, 2026 and 2025, changes in the fair value of securities held in the rabbi trust and offsetting increases or decreases in the deferred compensation obligation totaled $(0.2) million and $(0.1) million, respectively, and are recognized in other general and administrative expenses in the Company’s condensed consolidated statements of operations and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cash and cash equivalents including restricted cash, accounts receivable, accounts payable, and accrued expenses represent financial instruments. The carrying value of these financial instruments is a reasonable approximation of fair value due to the short-term nature of the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14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Prepaid Expenses and Other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 as of March 31, 2026 and December 31, 2025 consist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173" w:type="dxa"/>
        <w:jc w:val="left"/>
        <w:tblInd w:w="0" w:type="dxa"/>
        <w:tblLayout w:type="fixed"/>
        <w:tblCellMar>
          <w:top w:w="0" w:type="dxa"/>
          <w:left w:w="0" w:type="dxa"/>
          <w:bottom w:w="0" w:type="dxa"/>
          <w:right w:w="0" w:type="dxa"/>
        </w:tblCellMar>
      </w:tblPr>
      <w:tblGrid>
        <w:gridCol w:w="5165"/>
        <w:gridCol w:w="90"/>
        <w:gridCol w:w="212"/>
        <w:gridCol w:w="887"/>
        <w:gridCol w:w="90"/>
        <w:gridCol w:w="90"/>
        <w:gridCol w:w="290"/>
        <w:gridCol w:w="1214"/>
        <w:gridCol w:w="135"/>
      </w:tblGrid>
      <w:tr>
        <w:trPr/>
        <w:tc>
          <w:tcPr>
            <w:tcW w:w="51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Prepaid expenses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887" w:type="dxa"/>
            <w:tcBorders/>
            <w:shd w:fill="CCEEFF" w:val="clear"/>
            <w:vAlign w:val="center"/>
          </w:tcPr>
          <w:p>
            <w:pPr>
              <w:pStyle w:val="TableContents"/>
              <w:bidi w:val="0"/>
              <w:spacing w:before="0" w:after="283"/>
              <w:jc w:val="right"/>
              <w:rPr/>
            </w:pPr>
            <w:r>
              <w:rPr/>
              <w:t>7,240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214" w:type="dxa"/>
            <w:tcBorders/>
            <w:shd w:fill="CCEEFF" w:val="clear"/>
            <w:vAlign w:val="center"/>
          </w:tcPr>
          <w:p>
            <w:pPr>
              <w:pStyle w:val="TableContents"/>
              <w:bidi w:val="0"/>
              <w:spacing w:before="0" w:after="283"/>
              <w:jc w:val="right"/>
              <w:rPr/>
            </w:pPr>
            <w:r>
              <w:rPr/>
              <w:t>2,126</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Royalty advances (current and non-current)</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4,513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1,295</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Investments in employee deferred compensation trusts</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4,486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4,467</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Income tax receivable</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8,588</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Employee retention credit</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285</w:t>
            </w:r>
          </w:p>
        </w:tc>
        <w:tc>
          <w:tcPr>
            <w:tcW w:w="135" w:type="dxa"/>
            <w:tcBorders/>
            <w:shd w:fill="CCEEFF" w:val="clear"/>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887" w:type="dxa"/>
            <w:tcBorders>
              <w:bottom w:val="single" w:sz="8" w:space="0" w:color="000000"/>
            </w:tcBorders>
            <w:tcMar>
              <w:bottom w:w="28" w:type="dxa"/>
            </w:tcMar>
            <w:vAlign w:val="center"/>
          </w:tcPr>
          <w:p>
            <w:pPr>
              <w:pStyle w:val="TableContents"/>
              <w:bidi w:val="0"/>
              <w:spacing w:before="0" w:after="283"/>
              <w:jc w:val="right"/>
              <w:rPr/>
            </w:pPr>
            <w:r>
              <w:rPr/>
              <w:t>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tcMar>
              <w:bottom w:w="28" w:type="dxa"/>
            </w:tcMar>
            <w:vAlign w:val="center"/>
          </w:tcPr>
          <w:p>
            <w:pPr>
              <w:pStyle w:val="TableContents"/>
              <w:bidi w:val="0"/>
              <w:spacing w:before="0" w:after="283"/>
              <w:jc w:val="right"/>
              <w:rPr/>
            </w:pPr>
            <w:r>
              <w:rPr/>
              <w:t>112</w:t>
            </w:r>
          </w:p>
        </w:tc>
        <w:tc>
          <w:tcPr>
            <w:tcW w:w="135"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87" w:type="dxa"/>
            <w:tcBorders>
              <w:bottom w:val="double" w:sz="6" w:space="0" w:color="000000"/>
            </w:tcBorders>
            <w:shd w:fill="CCEEFF" w:val="clear"/>
            <w:tcMar>
              <w:bottom w:w="28" w:type="dxa"/>
            </w:tcMar>
            <w:vAlign w:val="center"/>
          </w:tcPr>
          <w:p>
            <w:pPr>
              <w:pStyle w:val="TableContents"/>
              <w:bidi w:val="0"/>
              <w:spacing w:before="0" w:after="283"/>
              <w:jc w:val="right"/>
              <w:rPr/>
            </w:pPr>
            <w:r>
              <w:rPr/>
              <w:t>18,749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r>
              <w:rPr/>
              <w:t>16,873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15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2026, the Company’s Board of Directors declared a quarterly cash dividend of $0.25 per common share. The dividend will be payable on June 30, 2026, to shareholders of record at the close of business on May 29,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filed a pre-effective amendment to its registration statement on Form S-3 (originally filed on October 29, 2025) pursuant to which it may issue, from time to time, up to $150.0 million of securities, which will be reduced by any amount of securities sold pursuant to the Company’s ATM Agreement (see Note 8 – Common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March 31, 2026, the U.S. government established a claims process to refund certain tariffs deemed unlawful following a Supreme Court decision. The Company believes it may be eligible for refunds related to tariffs previously paid. As of the date of issuance, the Company has submitted a claim but the timing, eligibility, and amount of any potential recovery remain subject to uncertainty and administrative review. Accordingly, no receivable or gain has been recognized as of March 31, 2026.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0" w:name="a_008"/>
      <w:bookmarkEnd w:id="10"/>
      <w:r>
        <w:rPr>
          <w:rFonts w:ascii="Times New Roman;Times;Serif" w:hAnsi="Times New Roman;Times;Serif"/>
          <w:b/>
          <w:i w:val="false"/>
          <w:caps w:val="false"/>
          <w:smallCaps w:val="false"/>
          <w:sz w:val="20"/>
        </w:rPr>
        <w:t>Item 2.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of financial condition and results of operations should be read together with our condensed consolidated financial statements and notes thereto, which appear elsewhere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within the meaning of Section 27A of the Securities Act of 1933 and Section 21E of the Securities Exchange Act of 1934. For example, statements included in this Report regarding our financial position, business strategy and other plans and objectives for future operations, and assumptions and predictions about future product demand, supply, manufacturing, costs, marketing and pricing factors are all forward-looking statements. When we use words like “intend,” “anticipate,” “believe,” “estimate,” “plan” or “expect,” or other words of a similar import, we are making forward-looking statements. We believe that the assumptions and expectations reflected in such forward-looking statements are reasonable, based upon information available to us on the date hereof, but we cannot assure you that these assumptions and expectations will prove to have been correct or that we will take any action that we may presently be planning. We have disclosed certain important factors (e.g., see “Risk Factors”) that could cause our actual results to differ materially from our current expectations elsewhere in this Report. You should understand that forward-looking statements made in this Report are necessarily qualified by these factors. We are not undertaking to publicly update or revise any forward-looking statement if we obtain new information or upon the occurrence of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critical accounting policies and estimates are included in the 2025 Annual Report on Form 10-K and did not materially change during the first three months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New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 to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table sets forth, for the periods indicated, certain statement of income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4235"/>
        <w:gridCol w:w="90"/>
        <w:gridCol w:w="113"/>
        <w:gridCol w:w="746"/>
        <w:gridCol w:w="404"/>
        <w:gridCol w:w="113"/>
        <w:gridCol w:w="113"/>
        <w:gridCol w:w="746"/>
        <w:gridCol w:w="365"/>
      </w:tblGrid>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5" w:type="dxa"/>
            <w:gridSpan w:val="6"/>
            <w:tcBorders/>
            <w:vAlign w:val="center"/>
          </w:tcPr>
          <w:p>
            <w:pPr>
              <w:pStyle w:val="TableContents"/>
              <w:bidi w:val="0"/>
              <w:spacing w:before="0" w:after="283"/>
              <w:jc w:val="center"/>
              <w:rPr>
                <w:b/>
              </w:rPr>
            </w:pPr>
            <w:r>
              <w:rPr>
                <w:b/>
              </w:rPr>
              <w:t>Three Months Ended</w:t>
              <w:br/>
              <w:t>March 31,</w:t>
            </w:r>
          </w:p>
        </w:tc>
        <w:tc>
          <w:tcPr>
            <w:tcW w:w="36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365"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36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Net sales</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100.0</w:t>
            </w:r>
          </w:p>
        </w:tc>
        <w:tc>
          <w:tcPr>
            <w:tcW w:w="404"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100.0</w:t>
            </w:r>
          </w:p>
        </w:tc>
        <w:tc>
          <w:tcPr>
            <w:tcW w:w="365"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 </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ind w:left="0" w:right="0" w:firstLine="180"/>
              <w:jc w:val="left"/>
              <w:rPr/>
            </w:pPr>
            <w:r>
              <w:rPr/>
              <w:t> </w:t>
            </w:r>
          </w:p>
        </w:tc>
      </w:tr>
      <w:tr>
        <w:trPr/>
        <w:tc>
          <w:tcPr>
            <w:tcW w:w="4235" w:type="dxa"/>
            <w:tcBorders/>
            <w:shd w:fill="CCEEFF" w:val="clear"/>
            <w:vAlign w:val="center"/>
          </w:tcPr>
          <w:p>
            <w:pPr>
              <w:pStyle w:val="TableContents"/>
              <w:bidi w:val="0"/>
              <w:spacing w:before="0" w:after="283"/>
              <w:jc w:val="left"/>
              <w:rPr/>
            </w:pPr>
            <w:r>
              <w:rPr/>
              <w:t>Cost of goods</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48.9</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48.3</w:t>
            </w:r>
          </w:p>
        </w:tc>
        <w:tc>
          <w:tcPr>
            <w:tcW w:w="365" w:type="dxa"/>
            <w:tcBorders/>
            <w:shd w:fill="CCEEFF" w:val="clear"/>
            <w:vAlign w:val="center"/>
          </w:tcPr>
          <w:p>
            <w:pPr>
              <w:pStyle w:val="TableContents"/>
              <w:bidi w:val="0"/>
              <w:spacing w:before="0" w:after="283"/>
              <w:ind w:left="0" w:right="0" w:firstLine="180"/>
              <w:jc w:val="left"/>
              <w:rPr/>
            </w:pPr>
            <w:r>
              <w:rPr/>
              <w:t> </w:t>
            </w:r>
          </w:p>
        </w:tc>
      </w:tr>
      <w:tr>
        <w:trPr/>
        <w:tc>
          <w:tcPr>
            <w:tcW w:w="4235" w:type="dxa"/>
            <w:tcBorders/>
            <w:vAlign w:val="center"/>
          </w:tcPr>
          <w:p>
            <w:pPr>
              <w:pStyle w:val="TableContents"/>
              <w:bidi w:val="0"/>
              <w:spacing w:before="0" w:after="283"/>
              <w:jc w:val="left"/>
              <w:rPr/>
            </w:pPr>
            <w:r>
              <w:rPr/>
              <w:t>Royalty expense</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15.9</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16.0</w:t>
            </w:r>
          </w:p>
        </w:tc>
        <w:tc>
          <w:tcPr>
            <w:tcW w:w="365" w:type="dxa"/>
            <w:tcBorders/>
            <w:vAlign w:val="center"/>
          </w:tcPr>
          <w:p>
            <w:pPr>
              <w:pStyle w:val="TableContents"/>
              <w:bidi w:val="0"/>
              <w:spacing w:before="0" w:after="283"/>
              <w:ind w:left="0" w:right="0" w:firstLine="180"/>
              <w:jc w:val="left"/>
              <w:rPr/>
            </w:pPr>
            <w:r>
              <w:rPr/>
              <w:t> </w:t>
            </w:r>
          </w:p>
        </w:tc>
      </w:tr>
      <w:tr>
        <w:trPr/>
        <w:tc>
          <w:tcPr>
            <w:tcW w:w="4235" w:type="dxa"/>
            <w:tcBorders/>
            <w:shd w:fill="CCEEFF" w:val="clear"/>
            <w:vAlign w:val="center"/>
          </w:tcPr>
          <w:p>
            <w:pPr>
              <w:pStyle w:val="TableContents"/>
              <w:bidi w:val="0"/>
              <w:spacing w:before="0" w:after="283"/>
              <w:jc w:val="left"/>
              <w:rPr/>
            </w:pPr>
            <w:r>
              <w:rPr/>
              <w:t>Amortization of tools and molds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1.8</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36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Cost of sales</w:t>
            </w:r>
          </w:p>
        </w:tc>
        <w:tc>
          <w:tcPr>
            <w:tcW w:w="90" w:type="dxa"/>
            <w:tcBorders/>
            <w:vAlign w:val="center"/>
          </w:tcPr>
          <w:p>
            <w:pPr>
              <w:pStyle w:val="TableContents"/>
              <w:bidi w:val="0"/>
              <w:spacing w:before="0" w:after="283"/>
              <w:jc w:val="left"/>
              <w:rPr/>
            </w:pPr>
            <w:r>
              <w:rPr/>
              <w:t> </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66.6</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65.6</w:t>
            </w:r>
          </w:p>
        </w:tc>
        <w:tc>
          <w:tcPr>
            <w:tcW w:w="36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33.4</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34.4</w:t>
            </w:r>
          </w:p>
        </w:tc>
        <w:tc>
          <w:tcPr>
            <w:tcW w:w="36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Direct selling expenses</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7.7</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7.7</w:t>
            </w:r>
          </w:p>
        </w:tc>
        <w:tc>
          <w:tcPr>
            <w:tcW w:w="36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30.8</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29.9</w:t>
            </w:r>
          </w:p>
        </w:tc>
        <w:tc>
          <w:tcPr>
            <w:tcW w:w="36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0.1</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bottom w:val="single" w:sz="8" w:space="0" w:color="000000"/>
            </w:tcBorders>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tcMar>
              <w:bottom w:w="28" w:type="dxa"/>
            </w:tcMar>
            <w:vAlign w:val="center"/>
          </w:tcPr>
          <w:p>
            <w:pPr>
              <w:pStyle w:val="TableContents"/>
              <w:bidi w:val="0"/>
              <w:spacing w:before="0" w:after="283"/>
              <w:jc w:val="right"/>
              <w:rPr/>
            </w:pPr>
            <w:r>
              <w:rPr/>
              <w:t>0.1</w:t>
            </w:r>
          </w:p>
        </w:tc>
        <w:tc>
          <w:tcPr>
            <w:tcW w:w="36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38.6</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37.7</w:t>
            </w:r>
          </w:p>
        </w:tc>
        <w:tc>
          <w:tcPr>
            <w:tcW w:w="36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Loss from operations</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(5.2</w:t>
            </w:r>
          </w:p>
        </w:tc>
        <w:tc>
          <w:tcPr>
            <w:tcW w:w="404"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(3.3</w:t>
            </w:r>
          </w:p>
        </w:tc>
        <w:tc>
          <w:tcPr>
            <w:tcW w:w="365"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left"/>
              <w:rPr/>
            </w:pPr>
            <w:r>
              <w:rPr/>
              <w:t>Other income (expense), net</w:t>
            </w:r>
          </w:p>
        </w:tc>
        <w:tc>
          <w:tcPr>
            <w:tcW w:w="9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right"/>
              <w:rPr/>
            </w:pPr>
            <w:r>
              <w:rPr/>
              <w:t>—</w:t>
            </w:r>
          </w:p>
        </w:tc>
        <w:tc>
          <w:tcPr>
            <w:tcW w:w="365"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0.4</w:t>
            </w:r>
          </w:p>
        </w:tc>
        <w:tc>
          <w:tcPr>
            <w:tcW w:w="404"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0.3</w:t>
            </w:r>
          </w:p>
        </w:tc>
        <w:tc>
          <w:tcPr>
            <w:tcW w:w="365"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404"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365"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283"/>
              <w:jc w:val="left"/>
              <w:rPr/>
            </w:pPr>
            <w:r>
              <w:rPr/>
              <w:t>Loss before benefit from income taxes</w:t>
            </w:r>
          </w:p>
        </w:tc>
        <w:tc>
          <w:tcPr>
            <w:tcW w:w="9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(4.8</w:t>
            </w:r>
          </w:p>
        </w:tc>
        <w:tc>
          <w:tcPr>
            <w:tcW w:w="404"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746" w:type="dxa"/>
            <w:tcBorders/>
            <w:vAlign w:val="center"/>
          </w:tcPr>
          <w:p>
            <w:pPr>
              <w:pStyle w:val="TableContents"/>
              <w:bidi w:val="0"/>
              <w:spacing w:before="0" w:after="283"/>
              <w:jc w:val="right"/>
              <w:rPr/>
            </w:pPr>
            <w:r>
              <w:rPr/>
              <w:t>(3.1</w:t>
            </w:r>
          </w:p>
        </w:tc>
        <w:tc>
          <w:tcPr>
            <w:tcW w:w="365" w:type="dxa"/>
            <w:tcBorders/>
            <w:vAlign w:val="center"/>
          </w:tcPr>
          <w:p>
            <w:pPr>
              <w:pStyle w:val="TableContents"/>
              <w:bidi w:val="0"/>
              <w:spacing w:before="0" w:after="283"/>
              <w:jc w:val="left"/>
              <w:rPr/>
            </w:pPr>
            <w:r>
              <w:rPr/>
              <w:t>)</w:t>
            </w:r>
          </w:p>
        </w:tc>
      </w:tr>
      <w:tr>
        <w:trPr/>
        <w:tc>
          <w:tcPr>
            <w:tcW w:w="4235" w:type="dxa"/>
            <w:tcBorders/>
            <w:shd w:fill="CCEEFF" w:val="clear"/>
            <w:vAlign w:val="center"/>
          </w:tcPr>
          <w:p>
            <w:pPr>
              <w:pStyle w:val="TableContents"/>
              <w:bidi w:val="0"/>
              <w:spacing w:before="0" w:after="283"/>
              <w:jc w:val="left"/>
              <w:rPr/>
            </w:pPr>
            <w:r>
              <w:rPr/>
              <w:t>Benefit from income taxes</w:t>
            </w:r>
          </w:p>
        </w:tc>
        <w:tc>
          <w:tcPr>
            <w:tcW w:w="90"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(0.8</w:t>
            </w:r>
          </w:p>
        </w:tc>
        <w:tc>
          <w:tcPr>
            <w:tcW w:w="404" w:type="dxa"/>
            <w:tcBorders/>
            <w:shd w:fill="CCEEFF" w:val="clear"/>
            <w:vAlign w:val="center"/>
          </w:tcPr>
          <w:p>
            <w:pPr>
              <w:pStyle w:val="TableContents"/>
              <w:bidi w:val="0"/>
              <w:spacing w:before="0" w:after="283"/>
              <w:jc w:val="lef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365"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13" w:type="dxa"/>
            <w:tcBorders>
              <w:bottom w:val="double" w:sz="6" w:space="0" w:color="000000"/>
            </w:tcBorders>
            <w:tcMar>
              <w:bottom w:w="28" w:type="dxa"/>
            </w:tcMar>
            <w:vAlign w:val="center"/>
          </w:tcPr>
          <w:p>
            <w:pPr>
              <w:pStyle w:val="TableContents"/>
              <w:bidi w:val="0"/>
              <w:spacing w:before="0" w:after="283"/>
              <w:jc w:val="left"/>
              <w:rPr/>
            </w:pPr>
            <w:r>
              <w:rPr/>
              <w:t> </w:t>
            </w:r>
          </w:p>
        </w:tc>
        <w:tc>
          <w:tcPr>
            <w:tcW w:w="746" w:type="dxa"/>
            <w:tcBorders>
              <w:bottom w:val="double" w:sz="6" w:space="0" w:color="000000"/>
            </w:tcBorders>
            <w:tcMar>
              <w:bottom w:w="28" w:type="dxa"/>
            </w:tcMar>
            <w:vAlign w:val="center"/>
          </w:tcPr>
          <w:p>
            <w:pPr>
              <w:pStyle w:val="TableContents"/>
              <w:bidi w:val="0"/>
              <w:spacing w:before="0" w:after="283"/>
              <w:jc w:val="right"/>
              <w:rPr/>
            </w:pPr>
            <w:r>
              <w:rPr/>
              <w:t>(4.0</w:t>
            </w:r>
          </w:p>
        </w:tc>
        <w:tc>
          <w:tcPr>
            <w:tcW w:w="404" w:type="dxa"/>
            <w:tcBorders/>
            <w:vAlign w:val="center"/>
          </w:tcPr>
          <w:p>
            <w:pPr>
              <w:pStyle w:val="TableContents"/>
              <w:bidi w:val="0"/>
              <w:spacing w:before="0" w:after="283"/>
              <w:jc w:val="left"/>
              <w:rPr/>
            </w:pPr>
            <w:r>
              <w:rPr/>
              <w:t>)%</w:t>
            </w:r>
          </w:p>
        </w:tc>
        <w:tc>
          <w:tcPr>
            <w:tcW w:w="113" w:type="dxa"/>
            <w:tcBorders/>
            <w:vAlign w:val="center"/>
          </w:tcPr>
          <w:p>
            <w:pPr>
              <w:pStyle w:val="TableContents"/>
              <w:bidi w:val="0"/>
              <w:spacing w:before="0" w:after="283"/>
              <w:jc w:val="left"/>
              <w:rPr/>
            </w:pPr>
            <w:r>
              <w:rPr/>
              <w:t> </w:t>
            </w:r>
          </w:p>
        </w:tc>
        <w:tc>
          <w:tcPr>
            <w:tcW w:w="113" w:type="dxa"/>
            <w:tcBorders>
              <w:bottom w:val="double" w:sz="6" w:space="0" w:color="000000"/>
            </w:tcBorders>
            <w:tcMar>
              <w:bottom w:w="28" w:type="dxa"/>
            </w:tcMar>
            <w:vAlign w:val="center"/>
          </w:tcPr>
          <w:p>
            <w:pPr>
              <w:pStyle w:val="TableContents"/>
              <w:bidi w:val="0"/>
              <w:spacing w:before="0" w:after="283"/>
              <w:jc w:val="left"/>
              <w:rPr/>
            </w:pPr>
            <w:r>
              <w:rPr/>
              <w:t> </w:t>
            </w:r>
          </w:p>
        </w:tc>
        <w:tc>
          <w:tcPr>
            <w:tcW w:w="746" w:type="dxa"/>
            <w:tcBorders>
              <w:bottom w:val="double" w:sz="6" w:space="0" w:color="000000"/>
            </w:tcBorders>
            <w:tcMar>
              <w:bottom w:w="28" w:type="dxa"/>
            </w:tcMar>
            <w:vAlign w:val="center"/>
          </w:tcPr>
          <w:p>
            <w:pPr>
              <w:pStyle w:val="TableContents"/>
              <w:bidi w:val="0"/>
              <w:spacing w:before="0" w:after="283"/>
              <w:jc w:val="right"/>
              <w:rPr/>
            </w:pPr>
            <w:r>
              <w:rPr/>
              <w:t>(2.1</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table sets forth, for the periods indicated, certain statements of operations data by segment (in thousands):</w:t>
      </w:r>
    </w:p>
    <w:p>
      <w:pPr>
        <w:pStyle w:val="TextBody"/>
        <w:bidi w:val="0"/>
        <w:spacing w:before="0" w:after="0"/>
        <w:ind w:left="0" w:right="0" w:hanging="0"/>
        <w:jc w:val="left"/>
        <w:rPr>
          <w:caps w:val="false"/>
          <w:smallCaps w:val="false"/>
        </w:rPr>
      </w:pPr>
      <w:r>
        <w:rPr>
          <w:caps w:val="false"/>
          <w:smallCaps w:val="false"/>
        </w:rPr>
        <w:t> </w:t>
      </w:r>
    </w:p>
    <w:tbl>
      <w:tblPr>
        <w:tblW w:w="4926" w:type="dxa"/>
        <w:jc w:val="left"/>
        <w:tblInd w:w="0" w:type="dxa"/>
        <w:tblLayout w:type="fixed"/>
        <w:tblCellMar>
          <w:top w:w="0" w:type="dxa"/>
          <w:left w:w="0" w:type="dxa"/>
          <w:bottom w:w="0" w:type="dxa"/>
          <w:right w:w="0" w:type="dxa"/>
        </w:tblCellMar>
      </w:tblPr>
      <w:tblGrid>
        <w:gridCol w:w="2465"/>
        <w:gridCol w:w="90"/>
        <w:gridCol w:w="174"/>
        <w:gridCol w:w="852"/>
        <w:gridCol w:w="92"/>
        <w:gridCol w:w="92"/>
        <w:gridCol w:w="174"/>
        <w:gridCol w:w="852"/>
        <w:gridCol w:w="135"/>
      </w:tblGrid>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center"/>
              <w:rPr>
                <w:b/>
              </w:rPr>
            </w:pPr>
            <w:r>
              <w:rPr>
                <w:b/>
              </w:rPr>
              <w:t>Three Months Ended</w:t>
              <w:br/>
              <w:t>March 31,</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026"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100,095</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52" w:type="dxa"/>
            <w:tcBorders/>
            <w:shd w:fill="CCEEFF" w:val="clear"/>
            <w:vAlign w:val="center"/>
          </w:tcPr>
          <w:p>
            <w:pPr>
              <w:pStyle w:val="TableContents"/>
              <w:bidi w:val="0"/>
              <w:spacing w:before="0" w:after="283"/>
              <w:jc w:val="right"/>
              <w:rPr/>
            </w:pPr>
            <w:r>
              <w:rPr/>
              <w:t>107,438</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6,581</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5,815</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106,676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113,253</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Cost of Sales</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66,113</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69,239</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4,957</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5,001</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71,070</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74,240</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b/>
              </w:rPr>
            </w:pPr>
            <w:r>
              <w:rPr>
                <w:b/>
              </w:rPr>
              <w:t>Gross Profit</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Toys/Consumer Products</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33,982</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38,199</w:t>
            </w:r>
          </w:p>
        </w:tc>
        <w:tc>
          <w:tcPr>
            <w:tcW w:w="135"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Costumes</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1,624</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tcMar>
              <w:bottom w:w="28" w:type="dxa"/>
            </w:tcMar>
            <w:vAlign w:val="center"/>
          </w:tcPr>
          <w:p>
            <w:pPr>
              <w:pStyle w:val="TableContents"/>
              <w:bidi w:val="0"/>
              <w:spacing w:before="0" w:after="283"/>
              <w:jc w:val="right"/>
              <w:rPr/>
            </w:pPr>
            <w:r>
              <w:rPr/>
              <w:t>814</w:t>
            </w:r>
          </w:p>
        </w:tc>
        <w:tc>
          <w:tcPr>
            <w:tcW w:w="13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35,606</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jc w:val="right"/>
              <w:rPr/>
            </w:pPr>
            <w:r>
              <w:rPr/>
              <w:t>39,013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Toys/Consumer Products. </w:t>
      </w:r>
      <w:r>
        <w:rPr>
          <w:rFonts w:ascii="Times New Roman;Times;Serif" w:hAnsi="Times New Roman;Times;Serif"/>
          <w:b w:val="false"/>
          <w:i w:val="false"/>
          <w:caps w:val="false"/>
          <w:smallCaps w:val="false"/>
          <w:sz w:val="20"/>
        </w:rPr>
        <w:t>Net sales of our Toys/Consumer Products segment were $100.1 million for the three months ended March 31, 2026 compared to $107.4 million for the prior year period, representing a decrease of $7.3 million, or 6.8%. The decrease was driven by lower sales from North American customers despite higher sales from our International regions. Dolls, Role-Play/Dress-up sales were down 32.4% versus a year ago due to lower sales related to the Moana 2 Movie product as well Disney Princess products. Net sales from the Action Play &amp; Collectibles division were up 28.9% due to higher net sales from the Super Mario Movie 2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Costumes</w:t>
      </w:r>
      <w:r>
        <w:rPr>
          <w:rFonts w:ascii="Times New Roman;Times;Serif" w:hAnsi="Times New Roman;Times;Serif"/>
          <w:b w:val="false"/>
          <w:i w:val="false"/>
          <w:caps w:val="false"/>
          <w:smallCaps w:val="false"/>
          <w:sz w:val="20"/>
        </w:rPr>
        <w:t>. Net sales of our Costumes segment were $6.6 million for the three months ended March 31, 2026 compared to $5.8 million for the prior year period, representing an increase of $0.8 million, or 13.8%. The increase was primarily due to increased sales related to Nintendo costumes.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Toys/Consumer Products.</w:t>
      </w:r>
      <w:r>
        <w:rPr>
          <w:rFonts w:ascii="Times New Roman;Times;Serif" w:hAnsi="Times New Roman;Times;Serif"/>
          <w:b w:val="false"/>
          <w:i w:val="false"/>
          <w:caps w:val="false"/>
          <w:smallCaps w:val="false"/>
          <w:sz w:val="20"/>
        </w:rPr>
        <w:t xml:space="preserve"> Cost of sales of our Toys/Consumer Products segment was $66.1 million, or 66.0% of related net sales for the three months ended March 31, 2026 compared to $69.2 million, or 64.4% of related net sales for the prior year period, representing a decrease of $3.1 million, or 4.5%. The increase as a percentage of net sales was due to a higher cost of product and tolling amortization compared with prior year.</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Costumes</w:t>
      </w:r>
      <w:r>
        <w:rPr>
          <w:rFonts w:ascii="Times New Roman;Times;Serif" w:hAnsi="Times New Roman;Times;Serif"/>
          <w:b w:val="false"/>
          <w:i w:val="false"/>
          <w:caps w:val="false"/>
          <w:smallCaps w:val="false"/>
          <w:sz w:val="20"/>
        </w:rPr>
        <w:t>. Cost of sales of our Costumes segment was $5.0 million, or 75.8% of related net sales for the three months ended March 31, 2026, compared to $5.0 million, or 86.2% of related net sales for the prior year period. The decrease as a percentage of net sales was due to lower royalty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$41.2 million for the three months ended March 31, 2026 compared to $42.8 million for the prior year period constituting 38.6% and 37.7% of net sales, respectively. Selling, general and administrative expenses were slightly lower year over year, led by decreases in temp help and media spend.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benefit, which includes federal, state and foreign income taxes and discrete items, was $0.8 million, or an effective tax rate of 16.6%, for the three months ended March 31, 2026. During the comparable period in 2025, our income tax benefit was $1.2 million, or an effective tax rate of 32.8%. The decrease in the effective tax rate is primarily attributable to a decrease in discrete tax benefits and an increase in pre-tax book loss for the current period.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 and Backlog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retail toy industry is inherently seasonal. Generally, our sales have been highest during the second and third quarters, and collections for those sales have been highest during the succeeding fourth and first quarters. Our working capital needs have been highest during the second and third quarters as we make royalty advance payments for some of our licenses and buy and sell inventory subject to customer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taken steps to level sales over the entire year, sales are expected to remain heavily influenced by the seasonality of our toy and costume products. The result of these seasonal patterns is that operating results and the demand for working capital may vary significantly by quarter. Orders placed with us are generally cancelable until the date of shipment. The combination of seasonal demand and the potential for order cancellation makes accurate forecasting of future sales difficult and causes us to believe that backlog may not be an accurate indicator of our future sales. Similarly, financial results for a particular quarter may not be indicative of results for the entire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working capital (inclusive of cash, cash equivalents and restricted cash) of $111.8 million, compared to $121.0 million as of December 31, 2025, representing a decrease in working capital of $9.2 million during the three-month period ended March 31, 2026. The decrease in working capital is mainly attributable to changes in receivables, inventory and payables, coupled with cash used in 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 provided net cash of $21.8 million during the three months ended March 31, 2026, as compared to net cash used of $1.7 million in the prior year period. The increase in net cash provided by operating activities year-over-year is primarily due to higher receivable collections, lower inventory purchases, less capital tied in prepaids and other assets, a lower cash out-flow for payables and a net refund of cash taxes paid in prior years. Other than open purchase orders issued in the normal course of business related to shipped product, we have no obligations to purchase inventory from our manufacturers. However, we may incur costs or other losses as a result of not placing orders consistent with our forecasts for product manufactured by our suppliers or manufacturers for a variety of reasons including customer order cancellations or a decline in demand. As part of our strategy to develop and market new products, we have entered into various character and product licenses with royalties/obligations generally ranging from 1% to 22% payable on net sales of such products. As of March 31, 2026, these agreements required future aggregate minimum royalty guarantees of $193.4 million exclusive of $4.5 million in advances already paid. Of this $193.4 million future minimum royalty guarantee, $66.8 million is due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used net cash of $5.8 million and $3.1 million for the three months ended March 31, 2026 and 2025, respectively, and consisted primarily of cash paid for the purchase of molds and tooling used in the manufacture of our products and purchases of investments to fund our obligation to our employees stemming from our non-qualified deferred compensation plan.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used net cash of $4.3 million and $6.6 million for the three months ended March 31, 2026 and 2025, respectively. The cash used in financing activities during the three months ended March 31, 2026, mainly consists of $1.3 million used for the repurchase of our common stock for employee tax withholding and $2.9 million used to pay dividends. The cash used in financing activities during the three months ended March 31, 2025, consists of $3.8 million used for the repurchase of our common stock for employee tax withholding and $2.8 million used to pay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terminated our existing $67.5 million JPMorgan ABL revolving credit facility in connection with entering into a new senior secured facility with BMO Bank N.A. The prior facility had no outstanding borrowings at the time of termination. We recorded a non-cash charge of $0.3 million for the write-off of previously deferred financing costs associated with the JPMorgan facility.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we entered into a new $70.0 million senior secured revolving credit facility with a maturity date of June 24, 2030. This facility replaces our prior facility and is expected to provide improved pricing and enhanced liquidity flexibility. Interest is payable at either SOFR plus a leverage-based margin or a Base Rate alternative and includes a commitment fee on unused amounts. The facility includes financial covenants requiring a minimum interest coverage ratio of 3.00 to 1.00 and a maximum total net leverage ratio of 2.00 to 1.00. As of March 31, 2026, we were in compliance with all financial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under the revolving facility as of March 31, 2026, was $68.3 million. The facility provides the Company with flexibility to fund working capital, capital expenditures, acquisitions,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5 – Credit Facilities for additional information pertaining to our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we held cash and cash equivalents, including restricted cash, of $64.0 million and $54.1 million, respectively. Cash, and cash equivalents, including restricted cash held outside of the United States in various foreign subsidiaries totaled $20.0 million and $16.9 million as of March 31, 2026 and December 31, 2025, respectively. The cash and cash equivalents, including restricted cash balances in our foreign subsidiaries have either been fully taxed in the U.S. or tax has been accounted for in connection with the Tax Cuts and Jobs Act, or may be eligible for a full foreign dividends received deduction under such Act, and thus would not be subject to additional U.S. tax should such amounts be repatriated in the form of dividends or deemed distributions. As such, foreign withholding taxes on future repatriations are not expected to be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working capital are cash flows from operations and borrowings under our credit facility (see Note 5 – 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Typically, cash flows from operations are impacted by the effect on sales of (1) the appeal of our products, (2) the success of our licensed brands in motivating consumer purchase of related merchandise, (3) the highly competitive conditions existing in the toy industry and in securing commercially attractive licenses, (4) dependency on a limited set of large customers, and (5) general economic conditions. A downturn in any single factor or a combination of factors could have a material adverse impact upon our ability to generate sufficient cash flows to operate the business. In addition, our business and liquidity are dependent to a significant degree on our vendors and their financial health, as well as the ability to accurately forecast the demand for products. The loss of a key vendor, or material changes in support by them, or a significant variance in actual demand compared to the forecast, can have a material adverse impact on our cash flows and business. Given the conditions in the toy industry environment in general, vendors, including licensors, may seek further assurances or take actions to protect against non-payment of amounts due to them. Changes in this area could have a material adverse impact on our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off-balance sheet arrangements include letters of credit issued by JPMorgan of $0.9 million, temporarily secured with cash as collateral, and letters of credit issued by BMO of $1.7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market risk includes interest rate fluctuations in connection with our Revolving Facility (see Note 5 – Credit Facilities). As detailed in the BMO Credit Agreement, borrowings under the Revolving Facility bear interest, at the Company’s election, at either (i) the Adjusted Term SOFR plus an applicable margin or (ii) the Base Rate plus an applicable margin. The applicable margin varies based on the Company’s Total Net Leverage Ratio and ranges from 1.50% to 2.00% for SOFR loans and from 0.50% to 1.00% for Base Rate loans. Borrowings under the Revolving Facility are therefore subject to risk based upon prevailing market interest rates. Interest rate risk may result from many factors, including governmental monetary and tax policies, domestic and international economic and political considerations and other factors that are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wholly-owned subsidiaries in Hong Kong, China, the United Kingdom, Germany, France, the Netherlands, Italy, Canada and Mexico. Sales are generally made by these operations on FOB China or Hong Kong terms and are denominated in U.S. dollars. However, purchases of inventory and Hong Kong operating expenses are typically denominated in Hong Kong dollars and local operating expenses in the United Kingdom, Germany, France, the Netherlands, Italy, Canada, Mexico and China are denominated in local currency, thereby creating exposure to changes in exchange rates. Changes in the U.S. dollar exchange rates may positively or negatively affect our results of operations. We do not believe that near-term changes in these exchange rates, if any, will result in a material effect on our future earnings, fair values or cash flows. Therefore, we have chosen not to enter into foreign currency hedging transactions. We cannot assure you that this approach will be successful, especially in the event of a significant and sudden change in the value of these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Chief Financial Officer, after evaluating the effectiveness of our disclosure controls and procedures as of the end of the period covered by this Report, have concluded that as of that date, our disclosure controls and procedures were effective. There has been no change in our internal control over financial reporting identified in connection with the evaluation required by Exchange Act Rule 13a-15(d) that occurred during the period covered by this Report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a_011"/>
      <w:bookmarkEnd w:id="13"/>
      <w:r>
        <w:rPr>
          <w:rFonts w:ascii="Times New Roman;Times;Serif" w:hAnsi="Times New Roman;Times;Serif"/>
          <w:b/>
          <w:i w:val="false"/>
          <w:caps w:val="false"/>
          <w:smallCaps w:val="false"/>
          <w:sz w:val="20"/>
        </w:rPr>
        <w:t xml:space="preserve">PART II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and certain of our property is the subject of, various pending claims and legal proceedings that routinely arise in the ordinary course of our business. We accrue for losses when the loss is deemed probable and the liability can reasonably be estimated. Where a liability is probable and there is a range of estimated loss with no best estimate in the range, we record the minimum estimated liability related to the claim. As additional information becomes available, we assess the potential liability related to the pending litigation and revise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provide certain indemnifications and/or other commitments of varying scope to a) our licensors, customers and certain other parties, including against third-party claims of intellectual property infringement, and b) our officers, directors and employees, including against third-party claims regarding the periods in which they serve in such capacities with us. The duration and amount of such obligations is, in certain cases, indefinite. Our director’s and officer’s liability insurance policy may, however, enable us to recover a portion of any future payments related to our officer, director or employee indemnifications. For the past five years, costs related to director and officer indemnifications have not been significant. Other than certain liabilities recorded in the normal course of business related to royalty payments due to our licensors, no liabilities have been recorded for indemnifications and/or 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with respect to us and our business are contained in “Part I, Item 1A. Risk Factors” in our Annual Report on Form 10-K for the year ended December 31, 2025. There have been no material changes from the risk factors previously disclosed in such filing. The disclosures made in this Quarterly Report should be reviewed together with the risk factors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8305" w:type="dxa"/>
        <w:jc w:val="left"/>
        <w:tblInd w:w="0" w:type="dxa"/>
        <w:tblLayout w:type="fixed"/>
        <w:tblCellMar>
          <w:top w:w="0" w:type="dxa"/>
          <w:left w:w="0" w:type="dxa"/>
          <w:bottom w:w="28" w:type="dxa"/>
          <w:right w:w="0" w:type="dxa"/>
        </w:tblCellMar>
      </w:tblPr>
      <w:tblGrid>
        <w:gridCol w:w="815"/>
        <w:gridCol w:w="90"/>
        <w:gridCol w:w="7400"/>
      </w:tblGrid>
      <w:tr>
        <w:trPr/>
        <w:tc>
          <w:tcPr>
            <w:tcW w:w="81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1-1.htm">
              <w:r>
                <w:rPr>
                  <w:rStyle w:val="InternetLink"/>
                  <w:rFonts w:ascii="Times New Roman;Times;Serif" w:hAnsi="Times New Roman;Times;Serif"/>
                  <w:b w:val="false"/>
                  <w:i w:val="false"/>
                  <w:caps w:val="false"/>
                  <w:smallCaps w:val="false"/>
                  <w:sz w:val="20"/>
                </w:rPr>
                <w:t>Rule 13a-14(a)/15d-14(a) Certification of Chief Executive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1-2.htm">
              <w:r>
                <w:rPr>
                  <w:rStyle w:val="InternetLink"/>
                  <w:rFonts w:ascii="Times New Roman;Times;Serif" w:hAnsi="Times New Roman;Times;Serif"/>
                  <w:b w:val="false"/>
                  <w:i w:val="false"/>
                  <w:caps w:val="false"/>
                  <w:smallCaps w:val="false"/>
                  <w:sz w:val="20"/>
                </w:rPr>
                <w:t>Rule 13a-14(a)/15d-14(a) Certification of Chief Financial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2-1.htm">
              <w:r>
                <w:rPr>
                  <w:rStyle w:val="InternetLink"/>
                  <w:rFonts w:ascii="Times New Roman;Times;Serif" w:hAnsi="Times New Roman;Times;Serif"/>
                  <w:b w:val="false"/>
                  <w:i w:val="false"/>
                  <w:caps w:val="false"/>
                  <w:smallCaps w:val="false"/>
                  <w:sz w:val="20"/>
                </w:rPr>
                <w:t>Section 1350 Certification of Chief Executive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pPr>
            <w:hyperlink w:anchor="jakkex32-2.htm">
              <w:r>
                <w:rPr>
                  <w:rStyle w:val="InternetLink"/>
                  <w:rFonts w:ascii="Times New Roman;Times;Serif" w:hAnsi="Times New Roman;Times;Serif"/>
                  <w:b w:val="false"/>
                  <w:i w:val="false"/>
                  <w:caps w:val="false"/>
                  <w:smallCaps w:val="false"/>
                  <w:sz w:val="20"/>
                </w:rPr>
                <w:t>Section 1350 Certification of Chief Financial Officer (1)</w:t>
              </w:r>
            </w:hyperlink>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653" w:type="dxa"/>
        <w:jc w:val="left"/>
        <w:tblInd w:w="0" w:type="dxa"/>
        <w:tblLayout w:type="fixed"/>
        <w:tblCellMar>
          <w:top w:w="0" w:type="dxa"/>
          <w:left w:w="0" w:type="dxa"/>
          <w:bottom w:w="0" w:type="dxa"/>
          <w:right w:w="0" w:type="dxa"/>
        </w:tblCellMar>
      </w:tblPr>
      <w:tblGrid>
        <w:gridCol w:w="68"/>
        <w:gridCol w:w="275"/>
        <w:gridCol w:w="1310"/>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685"/>
        <w:gridCol w:w="350"/>
        <w:gridCol w:w="2525"/>
      </w:tblGrid>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28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JAKKS PACIFIC, INC.</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01, 2026</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Kimble</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and </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(Duly Authorized Officer and</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jakkex31-1.htm"/>
      <w:bookmarkStart w:id="19" w:name="ksjakkex311"/>
      <w:bookmarkEnd w:id="18"/>
      <w:bookmarkEnd w:id="19"/>
      <w:r>
        <w:rPr>
          <w:rFonts w:ascii="Times New Roman;Times;Serif" w:hAnsi="Times New Roman;Times;Serif"/>
          <w:b/>
          <w:i w:val="false"/>
          <w:caps w:val="false"/>
          <w:smallCaps w:val="false"/>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G. Berman, Chief Executive Officer,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JAKKS Pacific, Inc.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quarterly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20"/>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01,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jakkex31-2.htm"/>
      <w:bookmarkStart w:id="21" w:name="ksjakkex312"/>
      <w:bookmarkEnd w:id="20"/>
      <w:bookmarkEnd w:id="21"/>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John Kimble, Chief Financial Officer,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JAKKS Pacific, Inc.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quarterly report, fairly present in all material respects the financial condition, results of operations and cash flows of the Company as of, and for, the periods presented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quarterly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Company’s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quarterly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Company’s internal control over financial reporting.</w:t>
      </w:r>
    </w:p>
    <w:p>
      <w:pPr>
        <w:pStyle w:val="TextBody"/>
        <w:bidi w:val="0"/>
        <w:spacing w:before="0" w:after="0"/>
        <w:ind w:left="0" w:right="0" w:firstLine="144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01,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jakkex32-1.htm"/>
      <w:bookmarkStart w:id="23" w:name="ksjakkex321"/>
      <w:bookmarkEnd w:id="22"/>
      <w:bookmarkEnd w:id="23"/>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Statement of the Chief Executive Officer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the undersigned officer of JAKKS Pacific, Inc. (“Registrant”) hereby certifies that the Registrant’s Quarterly Report on Form 10-Q for the quarter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 Berman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01,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jakkex32-2.htm"/>
      <w:bookmarkStart w:id="25" w:name="ksjakkex322"/>
      <w:bookmarkEnd w:id="24"/>
      <w:bookmarkEnd w:id="25"/>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Statement of the Chief Financial Officer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 the undersigned officer of JAKKS Pacific, Inc. (“Registrant”) hereby certifies that the Registrant’s Quarterly Report on Form 10-Q for the quarter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Kimble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01,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11191</Words>
  <Characters>61717</Characters>
  <CharactersWithSpaces>73836</CharactersWithSpaces>
  <Paragraphs>3745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