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Moelis Jordan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JAKKS PACIFIC,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2951 28TH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JAKKS PACIFIC INC</w:t>
              </w:r>
            </w:hyperlink>
            <w:r>
              <w:rPr/>
              <w:t xml:space="preserve"> [ </w:t>
            </w:r>
            <w:r>
              <w:rPr>
                <w:rFonts w:ascii="Times;serif" w:hAnsi="Times;serif"/>
                <w:color w:val="0000FF"/>
                <w:sz w:val="24"/>
                <w:shd w:fill="FFFFFF" w:val="clear"/>
              </w:rPr>
              <w:t>JAKK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24.44</w:t>
            </w:r>
            <w:r>
              <w:rPr>
                <w:rFonts w:ascii="Times;serif" w:hAnsi="Times;serif"/>
                <w:color w:val="008000"/>
                <w:position w:val="7"/>
                <w:sz w:val="16"/>
                <w:sz w:val="20"/>
                <w:shd w:fill="FFFFFF" w:val="clear"/>
              </w:rPr>
              <w:t>(4)</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4,827</w:t>
            </w:r>
            <w:r>
              <w:rPr>
                <w:rFonts w:ascii="Times;serif" w:hAnsi="Times;serif"/>
                <w:color w:val="008000"/>
                <w:position w:val="7"/>
                <w:sz w:val="16"/>
                <w:sz w:val="20"/>
                <w:shd w:fill="FFFFFF" w:val="clear"/>
              </w:rPr>
              <w:t>(5)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24.44</w:t>
            </w: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3,478</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Vested according to the terms of the RSU described in a previous filing.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Issued under Issuer's 2002 Stock award and Incentive Plan and is subject to the terms of Agreement for Award of Restricted Stock Units between Issuer and Reporting Person. In accordance with such Agreement, securities so issued will have no voting rights and may not be sold, mortgaged, pledged, transferred or otherwise encumbered prior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will vest in 1 installment on the first anniversary of the date of the grant. The Reporting Person must be a member of the Board of Directors for an RSU to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closing price of the Company's common stock for the trading day preceding the date of vest, as reported by NASDAQ.</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Certain of the shares may be restricted from transfer pursuant to the minimum stock ownership provisions adopted by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closing price of the Company's common stock for the trading day preceding the date of grant, as reported by NASDAQ.</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SCOTT MOELIS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616" TargetMode="External"/><Relationship Id="rId5" Type="http://schemas.openxmlformats.org/officeDocument/2006/relationships/hyperlink" Target="http://www.sec.gov/cgi-bin/browse-edgar?action=getcompany&amp;CIK=0001009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4068</Characters>
  <CharactersWithSpaces>4741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