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0" w:name="jakks3a1042826.htm"/>
      <w:bookmarkStart w:id="1" w:name="ksjakks3a1042826"/>
      <w:bookmarkEnd w:id="0"/>
      <w:bookmarkEnd w:id="1"/>
      <w:r>
        <w:rPr>
          <w:rFonts w:ascii="Times New Roman;Times;Serif" w:hAnsi="Times New Roman;Times;Serif"/>
          <w:b/>
          <w:i w:val="false"/>
          <w:caps w:val="false"/>
          <w:smallCaps w:val="false"/>
          <w:sz w:val="20"/>
        </w:rPr>
        <w:t>As filed with the Securities and Exchange Commission on April 29, 2026</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Registration No. 333-</w:t>
      </w:r>
      <w:r>
        <w:rPr>
          <w:rFonts w:ascii="Times New Roman;Times;Serif" w:hAnsi="Times New Roman;Times;Serif"/>
          <w:b w:val="false"/>
          <w:i w:val="false"/>
          <w:caps w:val="false"/>
          <w:smallCaps w:val="false"/>
          <w:sz w:val="20"/>
        </w:rPr>
        <w:t xml:space="preserve"> 291138     </w:t>
      </w:r>
    </w:p>
    <w:p>
      <w:pPr>
        <w:pStyle w:val="TextBody"/>
        <w:bidi w:val="0"/>
        <w:jc w:val="left"/>
        <w:rPr>
          <w:bdr w:val="single" w:sz="16" w:space="1" w:color="000000"/>
        </w:rPr>
      </w:pPr>
      <w:r>
        <w:rPr>
          <w:bdr w:val="single" w:sz="16" w:space="1" w:color="000000"/>
        </w:rPr>
        <w:t> </w:t>
      </w:r>
    </w:p>
    <w:p>
      <w:pPr>
        <w:pStyle w:val="TextBody"/>
        <w:bidi w:val="0"/>
        <w:jc w:val="righ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UNITED STATES</w:t>
      </w:r>
    </w:p>
    <w:p>
      <w:pPr>
        <w:pStyle w:val="TextBody"/>
        <w:bidi w:val="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 xml:space="preserve">FORM S-3 </w:t>
      </w:r>
    </w:p>
    <w:p>
      <w:pPr>
        <w:pStyle w:val="TextBody"/>
        <w:bidi w:val="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REGISTRATION STATEMENT</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Amendment No. 1 </w:t>
      </w:r>
    </w:p>
    <w:p>
      <w:pPr>
        <w:pStyle w:val="TextBody"/>
        <w:bidi w:val="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t>
      </w:r>
    </w:p>
    <w:p>
      <w:pPr>
        <w:pStyle w:val="TextBody"/>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SECURITIES ACT OF 1933</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u w:val="single"/>
        </w:rPr>
      </w:pPr>
      <w:r>
        <w:rPr>
          <w:rFonts w:ascii="Times New Roman;Times;Serif" w:hAnsi="Times New Roman;Times;Serif"/>
          <w:b/>
          <w:i w:val="false"/>
          <w:caps w:val="false"/>
          <w:smallCaps w:val="false"/>
          <w:sz w:val="36"/>
          <w:u w:val="single"/>
        </w:rPr>
        <w:t>JAKKS PACIFIC,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450" w:type="dxa"/>
        <w:jc w:val="left"/>
        <w:tblInd w:w="0" w:type="dxa"/>
        <w:tblLayout w:type="fixed"/>
        <w:tblCellMar>
          <w:top w:w="0" w:type="dxa"/>
          <w:left w:w="0" w:type="dxa"/>
          <w:bottom w:w="28" w:type="dxa"/>
          <w:right w:w="0" w:type="dxa"/>
        </w:tblCellMar>
      </w:tblPr>
      <w:tblGrid>
        <w:gridCol w:w="2495"/>
        <w:gridCol w:w="60"/>
        <w:gridCol w:w="1895"/>
      </w:tblGrid>
      <w:tr>
        <w:trPr/>
        <w:tc>
          <w:tcPr>
            <w:tcW w:w="24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left"/>
              <w:rPr/>
            </w:pPr>
            <w:r>
              <w:rPr/>
              <w:t> </w:t>
            </w:r>
          </w:p>
        </w:tc>
        <w:tc>
          <w:tcPr>
            <w:tcW w:w="18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95-4527222</w:t>
            </w:r>
          </w:p>
        </w:tc>
      </w:tr>
      <w:tr>
        <w:trPr/>
        <w:tc>
          <w:tcPr>
            <w:tcW w:w="24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or other jurisdiction of </w:t>
              <w:b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18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2951 28</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Street</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Santa Monica, California 90405 (424) 268-9444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Stephen G. Berman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Chief Executive Officer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2951 28</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Street</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Santa Monica, California 90405 (424) 268-9444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 a copy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Irving Rothstein,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Feder Kaszovitz LLP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845 Third Avenue, 11</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10022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888-8200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Approximate date of commencement of proposed sale to public: </w:t>
      </w:r>
      <w:r>
        <w:rPr>
          <w:rFonts w:ascii="Times New Roman;Times;Serif" w:hAnsi="Times New Roman;Times;Serif"/>
          <w:b w:val="false"/>
          <w:i w:val="false"/>
          <w:caps w:val="false"/>
          <w:smallCaps w:val="false"/>
          <w:sz w:val="20"/>
        </w:rPr>
        <w:t>From time to time after the effective date of this Registration Statement, as determined by market conditions and other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645" w:type="dxa"/>
        <w:jc w:val="left"/>
        <w:tblInd w:w="0" w:type="dxa"/>
        <w:tblLayout w:type="fixed"/>
        <w:tblCellMar>
          <w:top w:w="0" w:type="dxa"/>
          <w:left w:w="0" w:type="dxa"/>
          <w:bottom w:w="0" w:type="dxa"/>
          <w:right w:w="0" w:type="dxa"/>
        </w:tblCellMar>
      </w:tblPr>
      <w:tblGrid>
        <w:gridCol w:w="2060"/>
        <w:gridCol w:w="2585"/>
      </w:tblGrid>
      <w:tr>
        <w:trPr/>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2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 ☒</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25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 ☐</w:t>
            </w:r>
          </w:p>
        </w:tc>
        <w:tc>
          <w:tcPr>
            <w:tcW w:w="2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 ☒</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25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2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contains two prospectuses: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base prospectus which covers the offering, issuance and sale by us of up to $150,000,000 in the aggregate of the securities identified herein from time to time in one or more offerings, including the at-the-market offering as described below;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sales agreement prospectus covering the offering, issuance and sale by us of up to a maximum aggregate offering price of $75,000,000 of our common stock that may be issued and sold under an At Market Issuance Sales Agreement, dated October 20, 2022, as amended to date, between us and B. Riley Securities, Inc., as sales agent.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base prospectus immediately follows this explanatory note. The specific terms of any securities to be offered pursuant to the base prospectus will be specified in a prospectus supplement to the base prospectus. The sales agreement prospectus immediately follows the base prospectus. The $75,000,000 of common stock that may be offered, issued and sold under the sales agreement prospectus is included in the $150,000,000 of securities that may be offered, issued and sold by us under the base prospectus. Upon termination of the sales agreement with B. Riley Securities, Inc., any portion of the $75,000,000 included in the sales agreement prospectus will be available for sale in other offerings pursuant to the base prospectus. If no shares of common stock are sold under the sales agreement prospectus, the full $150,000,000 of securities may be sold in other offerings pursuant to the base prospectus and an accompanying prospectus supplement to be filed in connection with such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Amendment No. 1 to the Registration Statement on Form S-3 of JAKKS Pacific, Inc. (File No. 333-291138) (the “Registration Statement”) is being submitted to refile Exhibit 107. JAKKS Pacific, Inc. (the “Company”) initially filed the Registration Statement to register the offer and sale of up to $150 million of securities and intended to carry over the unsold securities under the Company’s prior registration statement on Form S-3 (File No. 333-267958) (the “Prior Registration Statement”) pursuant to Rule 415(a)(5)(ii) of the Securities Act of 1933, as amended (the “Securities Act”). The Registration Statement was transmitted to the Securities Exchange Commission (the “SEC”) via EDGAR on October 28, 2025, but accepted by the SEC with a filing date of October 29, 2025, and therefore was not filed within the time frame required under Rule 415 of the Securities Act. Accordingly, this Amendment No. 1 is being filed to amend the filing fee table contained in Exhibit 107 and update Item 14 of Part II of the Registration Statement to provide that the unsold securities and associated filing fees are not being carried over from the Prior Registration Statement pursuant to Rule 415, and instead, the filing fees paid under the Prior Registration Statement are being used to offset the filing fees due under the Registration Statement.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Amendment No. 1 is also being filed to (i) supplement and revise the “Incorporation of Certain Documents by Reference” sections of the prospectuses included in the Registration Statement to include the Annual Report on Form 10-K for fiscal year 2025 and any Current Reports on Form 8-K filed since then, (ii) update the Dilution section, and (iii) conform the description of the business to the description contained in the most recent Annual Report. The remainder of the prospectuses are materially unchanged except for updating certain dates, outstanding shares and share price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prospectus is not complete and may be changed. These securities may not be sold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color w:val="FF0000"/>
          <w:sz w:val="20"/>
        </w:rPr>
        <w:t xml:space="preserve">SUBJECT TO COMPLETION, DATED APRIL 29,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PROSPECTUS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JAKKS PACIFIC,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this prospectus and an accompanying prospectus supplement, we may from time to time offer and sell, in one or more offerings, up to $150,000,000 of our securities in amounts, at prices and on terms that we will determine at the time of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will provide you with more specific terms of these securities in one or more supplements to this prospectus. You should read this prospectus and the applicable prospectus supplement carefully before you invest. These supplements may also add, update or change information contained in this prospectus. To understand the terms of the securities offered, you should carefully read this prospectus with the applicable supplements, which together provide the specific terms of the securities being offered.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these securities from time to time in amounts, at prices and on other terms to be determined at the time of the offering. We may offer and sell these securities to or through underwriters, dealers or agents, or directly to investors, on a continuous or delayed basis. The supplements to this prospectus will provide the specific terms of the plan of distribution. The price to the public of such securities and the net proceeds we expect to receive from such sale will also be set forth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common stock is listed on the Nasdaq Global Select Market under the symbol “JAKK”. On April 20, 2026, the closing price of our common stock was $22.72 per share.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Investing in our securities involves risk. See the section entitled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Risk</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Factors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on page 6 in this prospectus and the risk factors that may be included in the applicable prospectus supplement and in our periodic reports and other documents we file with the Securities and Exchange Commission that are incorporated by reference herein for a discussion of factors you should consider before buying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These securities are not deposits or obligations of a bank or savings association and are not insured or guaranteed by the Federal Deposit Insurance Corporation or any other governmental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ADEQUACY OR ACCURACY OF THIS PROSPECTUS.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prospectus is dated __________, 2026.</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TableOfContents"/>
      <w:bookmarkEnd w:id="2"/>
      <w:r>
        <w:rPr>
          <w:rFonts w:ascii="Times New Roman;Times;Serif" w:hAnsi="Times New Roman;Times;Serif"/>
          <w:b/>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tbl>
      <w:tblPr>
        <w:tblW w:w="6070" w:type="dxa"/>
        <w:jc w:val="left"/>
        <w:tblInd w:w="0" w:type="dxa"/>
        <w:tblLayout w:type="fixed"/>
        <w:tblCellMar>
          <w:top w:w="0" w:type="dxa"/>
          <w:left w:w="0" w:type="dxa"/>
          <w:bottom w:w="0" w:type="dxa"/>
          <w:right w:w="0" w:type="dxa"/>
        </w:tblCellMar>
      </w:tblPr>
      <w:tblGrid>
        <w:gridCol w:w="5765"/>
        <w:gridCol w:w="60"/>
        <w:gridCol w:w="245"/>
      </w:tblGrid>
      <w:tr>
        <w:trPr/>
        <w:tc>
          <w:tcPr>
            <w:tcW w:w="5765" w:type="dxa"/>
            <w:tcBorders/>
            <w:vAlign w:val="center"/>
          </w:tcPr>
          <w:p>
            <w:pPr>
              <w:pStyle w:val="TableContents"/>
              <w:bidi w:val="0"/>
              <w:spacing w:before="0" w:after="283"/>
              <w:jc w:val="left"/>
              <w:rPr/>
            </w:pPr>
            <w:hyperlink w:anchor="a_001">
              <w:r>
                <w:rPr>
                  <w:rStyle w:val="InternetLink"/>
                  <w:rFonts w:ascii="Times New Roman;Times;Serif" w:hAnsi="Times New Roman;Times;Serif"/>
                  <w:b w:val="false"/>
                  <w:i w:val="false"/>
                  <w:caps w:val="false"/>
                  <w:smallCaps w:val="false"/>
                  <w:sz w:val="20"/>
                </w:rPr>
                <w:t>ABOUT THIS PROSPECTUS</w:t>
              </w:r>
            </w:hyperlink>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5765" w:type="dxa"/>
            <w:tcBorders/>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SPECIAL NOTE REGARDING FORWARD-LOOKING STATEMENTS</w:t>
              </w:r>
            </w:hyperlink>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5765" w:type="dxa"/>
            <w:tcBorders/>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AVAILABLE INFORMATION</w:t>
              </w:r>
            </w:hyperlink>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5765" w:type="dxa"/>
            <w:tcBorders/>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INFORMATION INCORPORATED BY REFERENCE</w:t>
              </w:r>
            </w:hyperlink>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5765" w:type="dxa"/>
            <w:tcBorders/>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THE COMPANY</w:t>
              </w:r>
            </w:hyperlink>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5765" w:type="dxa"/>
            <w:tcBorders/>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val="false"/>
                  <w:smallCaps w:val="false"/>
                  <w:sz w:val="20"/>
                </w:rPr>
                <w:t>RISK FACTORS</w:t>
              </w:r>
            </w:hyperlink>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5765" w:type="dxa"/>
            <w:tcBorders/>
            <w:vAlign w:val="center"/>
          </w:tcPr>
          <w:p>
            <w:pPr>
              <w:pStyle w:val="TableContents"/>
              <w:bidi w:val="0"/>
              <w:spacing w:before="0" w:after="283"/>
              <w:jc w:val="left"/>
              <w:rPr/>
            </w:pPr>
            <w:hyperlink w:anchor="a_007">
              <w:r>
                <w:rPr>
                  <w:rStyle w:val="InternetLink"/>
                  <w:rFonts w:ascii="Times New Roman;Times;Serif" w:hAnsi="Times New Roman;Times;Serif"/>
                  <w:b w:val="false"/>
                  <w:i w:val="false"/>
                  <w:caps w:val="false"/>
                  <w:smallCaps w:val="false"/>
                  <w:sz w:val="20"/>
                </w:rPr>
                <w:t>USE OF PROCEEDS</w:t>
              </w:r>
            </w:hyperlink>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5765" w:type="dxa"/>
            <w:tcBorders/>
            <w:vAlign w:val="center"/>
          </w:tcPr>
          <w:p>
            <w:pPr>
              <w:pStyle w:val="TableContents"/>
              <w:bidi w:val="0"/>
              <w:spacing w:before="0" w:after="283"/>
              <w:jc w:val="left"/>
              <w:rPr/>
            </w:pPr>
            <w:hyperlink w:anchor="a_008">
              <w:r>
                <w:rPr>
                  <w:rStyle w:val="InternetLink"/>
                  <w:rFonts w:ascii="Times New Roman;Times;Serif" w:hAnsi="Times New Roman;Times;Serif"/>
                  <w:b w:val="false"/>
                  <w:i w:val="false"/>
                  <w:caps w:val="false"/>
                  <w:smallCaps w:val="false"/>
                  <w:sz w:val="20"/>
                </w:rPr>
                <w:t>DESCRIPTION OF CAPITAL STOCK</w:t>
              </w:r>
            </w:hyperlink>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5765" w:type="dxa"/>
            <w:tcBorders/>
            <w:vAlign w:val="center"/>
          </w:tcPr>
          <w:p>
            <w:pPr>
              <w:pStyle w:val="TableContents"/>
              <w:bidi w:val="0"/>
              <w:spacing w:before="0" w:after="283"/>
              <w:jc w:val="left"/>
              <w:rPr/>
            </w:pPr>
            <w:hyperlink w:anchor="a_009">
              <w:r>
                <w:rPr>
                  <w:rStyle w:val="InternetLink"/>
                  <w:rFonts w:ascii="Times New Roman;Times;Serif" w:hAnsi="Times New Roman;Times;Serif"/>
                  <w:b w:val="false"/>
                  <w:i w:val="false"/>
                  <w:caps w:val="false"/>
                  <w:smallCaps w:val="false"/>
                  <w:sz w:val="20"/>
                </w:rPr>
                <w:t>DESCRIPTION OF PREFERRED STOCK</w:t>
              </w:r>
            </w:hyperlink>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5765" w:type="dxa"/>
            <w:tcBorders/>
            <w:vAlign w:val="center"/>
          </w:tcPr>
          <w:p>
            <w:pPr>
              <w:pStyle w:val="TableContents"/>
              <w:bidi w:val="0"/>
              <w:spacing w:before="0" w:after="283"/>
              <w:jc w:val="left"/>
              <w:rPr/>
            </w:pPr>
            <w:hyperlink w:anchor="a_010">
              <w:r>
                <w:rPr>
                  <w:rStyle w:val="InternetLink"/>
                  <w:rFonts w:ascii="Times New Roman;Times;Serif" w:hAnsi="Times New Roman;Times;Serif"/>
                  <w:b w:val="false"/>
                  <w:i w:val="false"/>
                  <w:caps w:val="false"/>
                  <w:smallCaps w:val="false"/>
                  <w:sz w:val="20"/>
                </w:rPr>
                <w:t>DESCRIPTION OF DEBT SECURITIES</w:t>
              </w:r>
            </w:hyperlink>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5765" w:type="dxa"/>
            <w:tcBorders/>
            <w:vAlign w:val="center"/>
          </w:tcPr>
          <w:p>
            <w:pPr>
              <w:pStyle w:val="TableContents"/>
              <w:bidi w:val="0"/>
              <w:spacing w:before="0" w:after="283"/>
              <w:jc w:val="left"/>
              <w:rPr/>
            </w:pPr>
            <w:hyperlink w:anchor="a_011">
              <w:r>
                <w:rPr>
                  <w:rStyle w:val="InternetLink"/>
                  <w:rFonts w:ascii="Times New Roman;Times;Serif" w:hAnsi="Times New Roman;Times;Serif"/>
                  <w:b w:val="false"/>
                  <w:i w:val="false"/>
                  <w:caps w:val="false"/>
                  <w:smallCaps w:val="false"/>
                  <w:sz w:val="20"/>
                </w:rPr>
                <w:t>DESCRIPTION OF WARRANTS</w:t>
              </w:r>
            </w:hyperlink>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5765" w:type="dxa"/>
            <w:tcBorders/>
            <w:vAlign w:val="center"/>
          </w:tcPr>
          <w:p>
            <w:pPr>
              <w:pStyle w:val="TableContents"/>
              <w:bidi w:val="0"/>
              <w:spacing w:before="0" w:after="283"/>
              <w:jc w:val="left"/>
              <w:rPr/>
            </w:pPr>
            <w:hyperlink w:anchor="a_012">
              <w:r>
                <w:rPr>
                  <w:rStyle w:val="InternetLink"/>
                  <w:rFonts w:ascii="Times New Roman;Times;Serif" w:hAnsi="Times New Roman;Times;Serif"/>
                  <w:b w:val="false"/>
                  <w:i w:val="false"/>
                  <w:caps w:val="false"/>
                  <w:smallCaps w:val="false"/>
                  <w:sz w:val="20"/>
                </w:rPr>
                <w:t>DESCRIPTION OF RIGHTS</w:t>
              </w:r>
            </w:hyperlink>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5765" w:type="dxa"/>
            <w:tcBorders/>
            <w:vAlign w:val="center"/>
          </w:tcPr>
          <w:p>
            <w:pPr>
              <w:pStyle w:val="TableContents"/>
              <w:bidi w:val="0"/>
              <w:spacing w:before="0" w:after="283"/>
              <w:jc w:val="left"/>
              <w:rPr/>
            </w:pPr>
            <w:hyperlink w:anchor="a_013">
              <w:r>
                <w:rPr>
                  <w:rStyle w:val="InternetLink"/>
                  <w:rFonts w:ascii="Times New Roman;Times;Serif" w:hAnsi="Times New Roman;Times;Serif"/>
                  <w:b w:val="false"/>
                  <w:i w:val="false"/>
                  <w:caps w:val="false"/>
                  <w:smallCaps w:val="false"/>
                  <w:sz w:val="20"/>
                </w:rPr>
                <w:t>DESCRIPTION OF UNITS</w:t>
              </w:r>
            </w:hyperlink>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5765" w:type="dxa"/>
            <w:tcBorders/>
            <w:vAlign w:val="center"/>
          </w:tcPr>
          <w:p>
            <w:pPr>
              <w:pStyle w:val="TableContents"/>
              <w:bidi w:val="0"/>
              <w:spacing w:before="0" w:after="283"/>
              <w:jc w:val="left"/>
              <w:rPr/>
            </w:pPr>
            <w:hyperlink w:anchor="a_014">
              <w:r>
                <w:rPr>
                  <w:rStyle w:val="InternetLink"/>
                  <w:rFonts w:ascii="Times New Roman;Times;Serif" w:hAnsi="Times New Roman;Times;Serif"/>
                  <w:b w:val="false"/>
                  <w:i w:val="false"/>
                  <w:caps w:val="false"/>
                  <w:smallCaps w:val="false"/>
                  <w:sz w:val="20"/>
                </w:rPr>
                <w:t>PLAN OF DISTRIBUTION</w:t>
              </w:r>
            </w:hyperlink>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5765" w:type="dxa"/>
            <w:tcBorders/>
            <w:vAlign w:val="center"/>
          </w:tcPr>
          <w:p>
            <w:pPr>
              <w:pStyle w:val="TableContents"/>
              <w:bidi w:val="0"/>
              <w:spacing w:before="0" w:after="283"/>
              <w:jc w:val="left"/>
              <w:rPr/>
            </w:pPr>
            <w:hyperlink w:anchor="a_015">
              <w:r>
                <w:rPr>
                  <w:rStyle w:val="InternetLink"/>
                  <w:rFonts w:ascii="Times New Roman;Times;Serif" w:hAnsi="Times New Roman;Times;Serif"/>
                  <w:b w:val="false"/>
                  <w:i w:val="false"/>
                  <w:caps w:val="false"/>
                  <w:smallCaps w:val="false"/>
                  <w:sz w:val="20"/>
                </w:rPr>
                <w:t>LEGAL MATTERS</w:t>
              </w:r>
            </w:hyperlink>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5765" w:type="dxa"/>
            <w:tcBorders/>
            <w:vAlign w:val="center"/>
          </w:tcPr>
          <w:p>
            <w:pPr>
              <w:pStyle w:val="TableContents"/>
              <w:bidi w:val="0"/>
              <w:spacing w:before="0" w:after="283"/>
              <w:jc w:val="left"/>
              <w:rPr/>
            </w:pPr>
            <w:hyperlink w:anchor="a_016">
              <w:r>
                <w:rPr>
                  <w:rStyle w:val="InternetLink"/>
                  <w:rFonts w:ascii="Times New Roman;Times;Serif" w:hAnsi="Times New Roman;Times;Serif"/>
                  <w:b w:val="false"/>
                  <w:i w:val="false"/>
                  <w:caps w:val="false"/>
                  <w:smallCaps w:val="false"/>
                  <w:sz w:val="20"/>
                </w:rPr>
                <w:t>EXPERTS</w:t>
              </w:r>
            </w:hyperlink>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1" w:color="000000"/>
        </w:rPr>
      </w:pPr>
      <w:bookmarkStart w:id="3" w:name="a_001"/>
      <w:bookmarkEnd w:id="3"/>
      <w:r>
        <w:rPr>
          <w:rFonts w:ascii="Times New Roman;Times;Serif" w:hAnsi="Times New Roman;Times;Serif"/>
          <w:b/>
          <w:i w:val="false"/>
          <w:caps w:val="false"/>
          <w:smallCaps w:val="false"/>
          <w:sz w:val="20"/>
          <w:bdr w:val="single" w:sz="8" w:space="1" w:color="000000"/>
        </w:rPr>
        <w:t>ABOUT THIS PROSPECTUS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This prospectus is part of a registration statement we filed with the Securities and Exchange Commission, or the “Commission” or the “SEC,” using the “shelf” registration process. Under the shelf registration process, over the three year period (or such longer period permitted under SEC rules) from the effective date of the registration statement, using this prospectus, together with a prospectus supplement, we may sell from time to time the securities described in this prospectus in one or more offerings. This prospectus provides you with a general description of the securities that may be offered. Each time we sell securities pursuant to this prospectus, we will provide a prospectus supplement that will contain specific information about the terms of the securities being offered. A prospectus supplement may include a discussion of any risk factors or other special considerations applicable to those securities or to us. The prospectus supplement may also add to, update or change information contained in this prospectus and, accordingly, to the extent inconsistent, the information in this prospectus will be superseded by the information in the prospectus supplement. You should read this prospectus, any applicable prospectus supplement and the additional information incorporated by reference in this prospectus described below under “Available Information” and “Information Incorporated by Reference” before making an investment in our securities.</w:t>
      </w:r>
    </w:p>
    <w:p>
      <w:pPr>
        <w:pStyle w:val="TextBody"/>
        <w:bidi w:val="0"/>
        <w:spacing w:before="0" w:after="0"/>
        <w:ind w:left="0" w:right="0" w:firstLine="72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This prospectus contains summaries of certain provisions contained in some of the documents described herein, but reference is made to the actual documents for complete information. All of the summaries are qualified in their entirety by the actual documents. Copies of the documents referred to herein have been filed, or will be filed, or incorporated by reference as exhibits to the registration statement of which this prospectus is a part, and you may obtain copies of those documents as described below under “Available Information.”</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left"/>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Neither the delivery of this prospectus nor any sale made under it implies that there has been no change in our affairs or that the information in this prospectus is correct as of any date after the date of this prospectus. You should not assume that the information in this prospectus, including any information incorporated in this prospectus by reference, the accompanying prospectus supplement or any free writing prospectus prepared by us, is accurate as of any date other than the date on the front of those documents. Our business, financial condition, results of operations and prospects may have changed since that date.</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In connection with this offering, no person is authorized to give any information or to make any representations not contained or incorporated by reference in this prospectus. If information is given or representations are made, you may not rely on that information or representations as having been authorized by us. This prospectus is neither an offer to sell nor a solicitation of an offer to buy any securities other than those registered by this prospectus, nor is it an offer to sell or a solicitation of an offer to buy securities where an offer or solicitation would be unlawful.</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You should not consider any information in this prospectus to be legal, business or tax advice. You should consult your own attorney, business advisor and tax advisor for legal, business and tax advice regarding an investment in our securities.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Unless the context otherwise requires, the terms “we,” “us,” “our,” “JAKKS,” and “the Company” refer to JAKKS Pacific, Inc., a Delaware corporation.</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1" w:color="000000"/>
        </w:rPr>
      </w:pPr>
      <w:bookmarkStart w:id="4" w:name="a_002"/>
      <w:bookmarkEnd w:id="4"/>
      <w:r>
        <w:rPr>
          <w:rFonts w:ascii="Times New Roman;Times;Serif" w:hAnsi="Times New Roman;Times;Serif"/>
          <w:b/>
          <w:i w:val="false"/>
          <w:caps w:val="false"/>
          <w:smallCaps w:val="false"/>
          <w:sz w:val="20"/>
          <w:bdr w:val="single" w:sz="8" w:space="1" w:color="000000"/>
        </w:rPr>
        <w:t>SPECIAL NOTE REGARDING FORWARD-LOOKING STATEMENTS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All statements in this prospectus and the documents incorporated by reference that are not historical facts should be considered “Forward Looking Statements” within the meaning of the “Safe Harbor” provisions of the Private Securities Litigation Reform Act of 1995. Such statements involve known and unknown risks, uncertainties and other factors that may cause actual results, performance or achievements of the Company to be materially different from any future results, performance or achievements expressed or implied by the forward-looking statements. Some of the forward-looking statements can be identified by the use words such as “believe,” “expect,” “may,” “estimates,” “should,” “seek,” “approximately,” “intend,” “plan,” “estimate,” “project,” “continue” or “anticipates” or similar expressions or words, or the negatives of those expressions or words. These statements may be made directly in this prospectus and they may also be incorporated by reference in this prospectus from other documents filed with the SEC, and include, but are not limited to, statements about future financial and operating results and performance, statements about our plans, objectives, expectations and intentions with respect to future operations, products and services, and other statements that are not historical facts. These forward-looking statements are based upon the current beliefs and expectations of our management and are inherently subject to significant business, economic and competitive uncertainties and contingencies, many of which are difficult to predict and generally beyond our control. In addition, these forward-looking statements are subject to assumptions with respect to future business strategies and decisions that are subject to change. Actual results may differ materially from the anticipated results discussed in these forward-looking statements.</w:t>
      </w:r>
    </w:p>
    <w:p>
      <w:pPr>
        <w:pStyle w:val="TextBody"/>
        <w:bidi w:val="0"/>
        <w:spacing w:before="0" w:after="0"/>
        <w:ind w:left="0" w:right="0" w:firstLine="72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Certain risks, uncertainties, and other factors are incorporated herein by reference to our most recent Annual Report on Form 10-K and our subsequent Quarterly Reports on Form 10-Q, along with the other information contained in this prospectus, as updated by our subsequent filings under the Securities Exchange Act of 1934, as amended, or the “Exchange Act.” Except as otherwise required by applicable securities laws, we undertake no obligation to publicly update or revise any forward-looking statements, whether as a result of new information, future events, changed circumstances, or any other reason, after the date of this prospectus.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1" w:color="000000"/>
        </w:rPr>
      </w:pPr>
      <w:bookmarkStart w:id="5" w:name="a_003"/>
      <w:bookmarkEnd w:id="5"/>
      <w:r>
        <w:rPr>
          <w:rFonts w:ascii="Times New Roman;Times;Serif" w:hAnsi="Times New Roman;Times;Serif"/>
          <w:b/>
          <w:i w:val="false"/>
          <w:caps w:val="false"/>
          <w:smallCaps w:val="false"/>
          <w:sz w:val="20"/>
          <w:bdr w:val="single" w:sz="8" w:space="1" w:color="000000"/>
        </w:rPr>
        <w:t>AVAILABLE INFORMATION</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are subject to the informational requirements of the Exchange Act, and file reports, proxy statements and other information with the Commission. We have also filed a registration statement on Form S-3 with the Commission. This prospectus, which forms part of the registration statement, does not have all of the information contained in the registration statement. The Commission also maintains a website that contains reports, proxy statements and other information, including the registration statement. The website address is: http://www.sec.gov.</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1" w:color="000000"/>
        </w:rPr>
      </w:pPr>
      <w:bookmarkStart w:id="6" w:name="a_004"/>
      <w:bookmarkEnd w:id="6"/>
      <w:r>
        <w:rPr>
          <w:rFonts w:ascii="Times New Roman;Times;Serif" w:hAnsi="Times New Roman;Times;Serif"/>
          <w:b/>
          <w:i w:val="false"/>
          <w:caps w:val="false"/>
          <w:smallCaps w:val="false"/>
          <w:sz w:val="20"/>
          <w:bdr w:val="single" w:sz="8" w:space="1" w:color="000000"/>
        </w:rPr>
        <w:t>INFORMATION INCORPORATED BY REFERENCE</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Commission allows us to “incorporate by reference” into this prospectus the information we file with them. The information we incorporate by reference into this prospectus is an important part of this prospectus. Any statement in a document we have filed with the Commission prior to the date of this prospectus and which is incorporated by reference into this prospectus will be considered to be modified or superseded to the extent a statement contained in the prospectus or any other subsequently filed document that is incorporated by reference into this prospectus modifies or supersedes that statement. The modified or superseded statement will not be considered to be a part of this prospectus, except as modified or superseded.</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have filed with the SEC a registration statement on Form S-3 with respect to the securities offered hereby. This prospectus does not contain all the information set forth in the registration statement, parts of which are omitted in accordance with the rules and regulations of the SEC. For further information with respect to us and the securities offered hereby, reference is also made to such registration statement.</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incorporate by reference into this prospectus the information contained in the following documents, which is considered to be a part of this prospectus:</w:t>
      </w:r>
    </w:p>
    <w:p>
      <w:pPr>
        <w:pStyle w:val="TextBody"/>
        <w:bidi w:val="0"/>
        <w:spacing w:before="0" w:after="0"/>
        <w:ind w:left="0" w:right="0" w:firstLine="720"/>
        <w:jc w:val="left"/>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03"/>
        <w:gridCol w:w="198"/>
        <w:gridCol w:w="9904"/>
      </w:tblGrid>
      <w:tr>
        <w:trPr/>
        <w:tc>
          <w:tcPr>
            <w:tcW w:w="103"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98"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90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Our Annual Report on </w:t>
            </w:r>
            <w:hyperlink r:id="rId2">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fiscal year ended December 31, 2025. </w:t>
            </w:r>
          </w:p>
        </w:tc>
      </w:tr>
      <w:tr>
        <w:trPr/>
        <w:tc>
          <w:tcPr>
            <w:tcW w:w="103"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caps w:val="false"/>
                <w:smallCaps w:val="false"/>
              </w:rPr>
            </w:pPr>
            <w:r>
              <w:rPr>
                <w:caps w:val="false"/>
                <w:smallCaps w:val="false"/>
              </w:rPr>
              <w:t> </w:t>
            </w:r>
          </w:p>
        </w:tc>
        <w:tc>
          <w:tcPr>
            <w:tcW w:w="990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3"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98"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90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Our Current Report on </w:t>
            </w:r>
            <w:hyperlink r:id="rId3">
              <w:r>
                <w:rPr>
                  <w:rStyle w:val="InternetLink"/>
                  <w:rFonts w:ascii="Times New Roman;Times;Serif" w:hAnsi="Times New Roman;Times;Serif"/>
                  <w:b w:val="false"/>
                  <w:i w:val="false"/>
                  <w:caps w:val="false"/>
                  <w:smallCaps w:val="false"/>
                  <w:sz w:val="20"/>
                </w:rPr>
                <w:t>Form 8-K</w:t>
              </w:r>
            </w:hyperlink>
            <w:r>
              <w:rPr>
                <w:rFonts w:ascii="Times New Roman;Times;Serif" w:hAnsi="Times New Roman;Times;Serif"/>
                <w:b w:val="false"/>
                <w:i w:val="false"/>
                <w:caps w:val="false"/>
                <w:smallCaps w:val="false"/>
                <w:sz w:val="20"/>
              </w:rPr>
              <w:t xml:space="preserve"> filed on March 27, 2026. </w:t>
            </w:r>
          </w:p>
        </w:tc>
      </w:tr>
      <w:tr>
        <w:trPr/>
        <w:tc>
          <w:tcPr>
            <w:tcW w:w="103"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caps w:val="false"/>
                <w:smallCaps w:val="false"/>
              </w:rPr>
            </w:pPr>
            <w:r>
              <w:rPr>
                <w:caps w:val="false"/>
                <w:smallCaps w:val="false"/>
              </w:rPr>
              <w:t> </w:t>
            </w:r>
          </w:p>
        </w:tc>
        <w:tc>
          <w:tcPr>
            <w:tcW w:w="990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3"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98"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90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Our Current Report on </w:t>
            </w:r>
            <w:hyperlink r:id="rId4">
              <w:r>
                <w:rPr>
                  <w:rStyle w:val="InternetLink"/>
                  <w:rFonts w:ascii="Times New Roman;Times;Serif" w:hAnsi="Times New Roman;Times;Serif"/>
                  <w:b w:val="false"/>
                  <w:i w:val="false"/>
                  <w:caps w:val="false"/>
                  <w:smallCaps w:val="false"/>
                  <w:sz w:val="20"/>
                </w:rPr>
                <w:t>Form 8-K</w:t>
              </w:r>
            </w:hyperlink>
            <w:r>
              <w:rPr>
                <w:rFonts w:ascii="Times New Roman;Times;Serif" w:hAnsi="Times New Roman;Times;Serif"/>
                <w:b w:val="false"/>
                <w:i w:val="false"/>
                <w:caps w:val="false"/>
                <w:smallCaps w:val="false"/>
                <w:sz w:val="20"/>
              </w:rPr>
              <w:t xml:space="preserve"> filed on February 20, 2026. </w:t>
            </w:r>
          </w:p>
        </w:tc>
      </w:tr>
      <w:tr>
        <w:trPr/>
        <w:tc>
          <w:tcPr>
            <w:tcW w:w="103"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caps w:val="false"/>
                <w:smallCaps w:val="false"/>
              </w:rPr>
            </w:pPr>
            <w:r>
              <w:rPr>
                <w:caps w:val="false"/>
                <w:smallCaps w:val="false"/>
              </w:rPr>
              <w:t> </w:t>
            </w:r>
          </w:p>
        </w:tc>
        <w:tc>
          <w:tcPr>
            <w:tcW w:w="990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3"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caps w:val="false"/>
                <w:smallCaps w:val="false"/>
              </w:rPr>
            </w:pPr>
            <w:r>
              <w:rPr>
                <w:caps w:val="false"/>
                <w:smallCaps w:val="false"/>
              </w:rPr>
              <w:t>●</w:t>
            </w:r>
          </w:p>
        </w:tc>
        <w:tc>
          <w:tcPr>
            <w:tcW w:w="99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of our common stock contained in our Registration Statement on Form 8-A (File No. 0-28104), filed March 29, 1996, and as incorporated therein by reference to our Registration Statement on Form SB-2 (Reg. No. 333-2048-LA).</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All documents subsequently filed by us with the SEC under Sections 13(a), 13(c), 14 and 15(d) of the Exchange Act (other than current reports on Form 8-K furnished pursuant to Item 2.02 or Item 7.01 of Form 8-K, including any exhibits included with such information, unless otherwise indicated therein) prior to the termination or completion of the offering made pursuant to this prospectus are also incorporated herein by reference and will automatically update and supersede information contained or incorporated by reference in this prospectus.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will provide each person to whom a copy of this prospectus has been delivered, without charge, upon receipt of a written or oral request, a copy of any of the documents referred to above as being incorporated by reference. You may request a copy by writing or telephoning John L. Kimble, c/o JAKKS Pacific, Inc., 2951 28</w:t>
      </w:r>
      <w:r>
        <w:rPr>
          <w:rFonts w:ascii="Times New Roman;Times;Serif" w:hAnsi="Times New Roman;Times;Serif"/>
          <w:b w:val="false"/>
          <w:i w:val="false"/>
          <w:caps w:val="false"/>
          <w:smallCaps w:val="false"/>
          <w:position w:val="7"/>
          <w:sz w:val="16"/>
          <w:sz w:val="20"/>
          <w:bdr w:val="single" w:sz="8" w:space="1" w:color="000000"/>
        </w:rPr>
        <w:t>th</w:t>
      </w:r>
      <w:r>
        <w:rPr>
          <w:rFonts w:ascii="Times New Roman;Times;Serif" w:hAnsi="Times New Roman;Times;Serif"/>
          <w:b w:val="false"/>
          <w:i w:val="false"/>
          <w:caps w:val="false"/>
          <w:smallCaps w:val="false"/>
          <w:sz w:val="20"/>
          <w:bdr w:val="single" w:sz="8" w:space="1" w:color="000000"/>
        </w:rPr>
        <w:t xml:space="preserve"> Street, Santa Monica, California, 90405 (telephone: 424-268-9444).</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statements that we make in this prospectus or in any document incorporated by reference in this prospectus about the contents of any other documents are not necessarily complete and are qualified in their entirety by referring you to copies of those documents that are filed as exhibits to the registration statement, of which this prospectus forms a part, or as an exhibit to the documents incorporated by reference. You can obtain copies of these documents from the SEC or from us, as described above.</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1" w:color="000000"/>
        </w:rPr>
      </w:pPr>
      <w:bookmarkStart w:id="7" w:name="a_005"/>
      <w:bookmarkEnd w:id="7"/>
      <w:r>
        <w:rPr>
          <w:rFonts w:ascii="Times New Roman;Times;Serif" w:hAnsi="Times New Roman;Times;Serif"/>
          <w:b/>
          <w:i w:val="false"/>
          <w:caps w:val="false"/>
          <w:smallCaps w:val="false"/>
          <w:sz w:val="20"/>
          <w:bdr w:val="single" w:sz="8" w:space="1" w:color="000000"/>
        </w:rPr>
        <w:t>THE COMPANY</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About JAKKS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are a leading multi-product line, multi-brand toy company that designs, produces, markets, sells and distributes toys and related kid-targeted consumer products, inclusive of kids indoor and outdoor furniture, costumes and various product lines in the sporting goods and home furnishings space. We focus our business on acquiring or licensing well-recognized intellectual property (“IP”), trademarks and/or brand names, most with long product histories (“evergreen brands”). We seek to acquire/license these evergreen brands because we believe they are less subject to market fads or trends. We also develop proprietary products marketed under our own trademarks and brand names and have historically acquired complementary businesses to further grow our portfolio. For accounting purposes, our products have been divided into two segments: (i) Toys/Consumer Products and (ii) Costumes. Segment information with respect to revenues, assets and profits or losses attributable to each segment is contained in the Notes to the Financial Statements included in our Annual and Quarterly Reports filed with the SEC. Our products include:</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87"/>
        <w:gridCol w:w="182"/>
        <w:gridCol w:w="9936"/>
      </w:tblGrid>
      <w:tr>
        <w:trPr/>
        <w:tc>
          <w:tcPr>
            <w:tcW w:w="87" w:type="dxa"/>
            <w:tcBorders/>
            <w:vAlign w:val="center"/>
          </w:tcPr>
          <w:p>
            <w:pPr>
              <w:pStyle w:val="TableContents"/>
              <w:bidi w:val="0"/>
              <w:spacing w:before="0" w:after="283"/>
              <w:jc w:val="left"/>
              <w:rPr/>
            </w:pPr>
            <w:r>
              <w:rPr/>
              <w:t xml:space="preserve">  </w:t>
            </w:r>
          </w:p>
        </w:tc>
        <w:tc>
          <w:tcPr>
            <w:tcW w:w="182" w:type="dxa"/>
            <w:tcBorders/>
            <w:vAlign w:val="center"/>
          </w:tcPr>
          <w:p>
            <w:pPr>
              <w:pStyle w:val="TableContents"/>
              <w:bidi w:val="0"/>
              <w:spacing w:before="0" w:after="283"/>
              <w:jc w:val="left"/>
              <w:rPr/>
            </w:pPr>
            <w:r>
              <w:rPr/>
              <w:t xml:space="preserve">● </w:t>
            </w:r>
          </w:p>
        </w:tc>
        <w:tc>
          <w:tcPr>
            <w:tcW w:w="9936" w:type="dxa"/>
            <w:tcBorders/>
            <w:vAlign w:val="center"/>
          </w:tcPr>
          <w:p>
            <w:pPr>
              <w:pStyle w:val="TableContents"/>
              <w:bidi w:val="0"/>
              <w:spacing w:before="0" w:after="283"/>
              <w:jc w:val="left"/>
              <w:rPr/>
            </w:pPr>
            <w:r>
              <w:rPr/>
              <w:t xml:space="preserve">Action figures and accessories, including licensed characters based on the Nintendo®, Sonic the Hedgehog®, and The Simpsons® franchises and our own proprietary brands including Creepy Crawlers®; </w:t>
            </w:r>
          </w:p>
        </w:tc>
      </w:tr>
      <w:tr>
        <w:trPr/>
        <w:tc>
          <w:tcPr>
            <w:tcW w:w="87"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9936" w:type="dxa"/>
            <w:tcBorders/>
            <w:vAlign w:val="center"/>
          </w:tcPr>
          <w:p>
            <w:pPr>
              <w:pStyle w:val="TableContents"/>
              <w:bidi w:val="0"/>
              <w:spacing w:before="0" w:after="283"/>
              <w:jc w:val="left"/>
              <w:rPr/>
            </w:pPr>
            <w:r>
              <w:rPr/>
              <w:t> </w:t>
            </w:r>
          </w:p>
        </w:tc>
      </w:tr>
      <w:tr>
        <w:trPr/>
        <w:tc>
          <w:tcPr>
            <w:tcW w:w="87" w:type="dxa"/>
            <w:tcBorders/>
            <w:vAlign w:val="center"/>
          </w:tcPr>
          <w:p>
            <w:pPr>
              <w:pStyle w:val="TableContents"/>
              <w:bidi w:val="0"/>
              <w:spacing w:before="0" w:after="283"/>
              <w:jc w:val="left"/>
              <w:rPr/>
            </w:pPr>
            <w:r>
              <w:rPr/>
              <w:t xml:space="preserve">  </w:t>
            </w:r>
          </w:p>
        </w:tc>
        <w:tc>
          <w:tcPr>
            <w:tcW w:w="182" w:type="dxa"/>
            <w:tcBorders/>
            <w:vAlign w:val="center"/>
          </w:tcPr>
          <w:p>
            <w:pPr>
              <w:pStyle w:val="TableContents"/>
              <w:bidi w:val="0"/>
              <w:spacing w:before="0" w:after="283"/>
              <w:jc w:val="left"/>
              <w:rPr/>
            </w:pPr>
            <w:r>
              <w:rPr/>
              <w:t xml:space="preserve">● </w:t>
            </w:r>
          </w:p>
        </w:tc>
        <w:tc>
          <w:tcPr>
            <w:tcW w:w="9936" w:type="dxa"/>
            <w:tcBorders/>
            <w:vAlign w:val="center"/>
          </w:tcPr>
          <w:p>
            <w:pPr>
              <w:pStyle w:val="TableContents"/>
              <w:bidi w:val="0"/>
              <w:spacing w:before="0" w:after="283"/>
              <w:jc w:val="left"/>
              <w:rPr/>
            </w:pPr>
            <w:r>
              <w:rPr/>
              <w:t xml:space="preserve">Toy vehicles, including Xtreme Power Dozer®, Xtreme Power Dump Truck®, XPV®, Road Champs®, Fly Wheels® and AirTitans® inflatable remote-control dinosaur; </w:t>
            </w:r>
          </w:p>
        </w:tc>
      </w:tr>
      <w:tr>
        <w:trPr/>
        <w:tc>
          <w:tcPr>
            <w:tcW w:w="87"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9936" w:type="dxa"/>
            <w:tcBorders/>
            <w:vAlign w:val="center"/>
          </w:tcPr>
          <w:p>
            <w:pPr>
              <w:pStyle w:val="TableContents"/>
              <w:bidi w:val="0"/>
              <w:spacing w:before="0" w:after="283"/>
              <w:jc w:val="left"/>
              <w:rPr/>
            </w:pPr>
            <w:r>
              <w:rPr/>
              <w:t> </w:t>
            </w:r>
          </w:p>
        </w:tc>
      </w:tr>
      <w:tr>
        <w:trPr/>
        <w:tc>
          <w:tcPr>
            <w:tcW w:w="87" w:type="dxa"/>
            <w:tcBorders/>
            <w:vAlign w:val="center"/>
          </w:tcPr>
          <w:p>
            <w:pPr>
              <w:pStyle w:val="TableContents"/>
              <w:bidi w:val="0"/>
              <w:spacing w:before="0" w:after="283"/>
              <w:jc w:val="left"/>
              <w:rPr/>
            </w:pPr>
            <w:r>
              <w:rPr/>
              <w:t xml:space="preserve">  </w:t>
            </w:r>
          </w:p>
        </w:tc>
        <w:tc>
          <w:tcPr>
            <w:tcW w:w="182" w:type="dxa"/>
            <w:tcBorders/>
            <w:vAlign w:val="center"/>
          </w:tcPr>
          <w:p>
            <w:pPr>
              <w:pStyle w:val="TableContents"/>
              <w:bidi w:val="0"/>
              <w:spacing w:before="0" w:after="283"/>
              <w:jc w:val="left"/>
              <w:rPr/>
            </w:pPr>
            <w:r>
              <w:rPr/>
              <w:t xml:space="preserve">● </w:t>
            </w:r>
          </w:p>
        </w:tc>
        <w:tc>
          <w:tcPr>
            <w:tcW w:w="9936" w:type="dxa"/>
            <w:tcBorders/>
            <w:vAlign w:val="center"/>
          </w:tcPr>
          <w:p>
            <w:pPr>
              <w:pStyle w:val="TableContents"/>
              <w:bidi w:val="0"/>
              <w:spacing w:before="0" w:after="283"/>
              <w:jc w:val="left"/>
              <w:rPr/>
            </w:pPr>
            <w:r>
              <w:rPr/>
              <w:t xml:space="preserve">Dolls and accessories, including small dolls, large dolls, fashion dolls and baby dolls based on licenses, including Disney Darlings, Disney Encanto®, Disney Moana® 2, Disney ILY 4EVER®, Disney Frozen®, Disney Princess® and Minnie Mouse®, and infant and pre-school toys based on TV shows like PBS’s Daniel Tiger’s Neighborhood® as well as in-house brands such as Perfectly Cute®, Charming™, and KidTopia™; </w:t>
            </w:r>
          </w:p>
        </w:tc>
      </w:tr>
      <w:tr>
        <w:trPr/>
        <w:tc>
          <w:tcPr>
            <w:tcW w:w="87" w:type="dxa"/>
            <w:tcBorders/>
            <w:vAlign w:val="center"/>
          </w:tcPr>
          <w:p>
            <w:pPr>
              <w:pStyle w:val="TableContents"/>
              <w:bidi w:val="0"/>
              <w:spacing w:before="0" w:after="283"/>
              <w:jc w:val="left"/>
              <w:rPr>
                <w:caps w:val="false"/>
                <w:smallCaps w:val="false"/>
              </w:rPr>
            </w:pPr>
            <w:r>
              <w:rPr>
                <w:caps w:val="false"/>
                <w:smallCaps w:val="false"/>
              </w:rPr>
              <w:t> </w:t>
            </w:r>
          </w:p>
        </w:tc>
        <w:tc>
          <w:tcPr>
            <w:tcW w:w="182" w:type="dxa"/>
            <w:tcBorders/>
            <w:vAlign w:val="center"/>
          </w:tcPr>
          <w:p>
            <w:pPr>
              <w:pStyle w:val="TableContents"/>
              <w:bidi w:val="0"/>
              <w:spacing w:before="0" w:after="283"/>
              <w:jc w:val="left"/>
              <w:rPr>
                <w:caps w:val="false"/>
                <w:smallCaps w:val="false"/>
              </w:rPr>
            </w:pPr>
            <w:r>
              <w:rPr>
                <w:caps w:val="false"/>
                <w:smallCaps w:val="false"/>
              </w:rPr>
              <w:t> </w:t>
            </w:r>
          </w:p>
        </w:tc>
        <w:tc>
          <w:tcPr>
            <w:tcW w:w="993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7"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82"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9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Private label products developed exclusively for certain retail customers in various product categories; </w:t>
            </w:r>
          </w:p>
        </w:tc>
      </w:tr>
      <w:tr>
        <w:trPr/>
        <w:tc>
          <w:tcPr>
            <w:tcW w:w="87" w:type="dxa"/>
            <w:tcBorders/>
            <w:vAlign w:val="center"/>
          </w:tcPr>
          <w:p>
            <w:pPr>
              <w:pStyle w:val="TableContents"/>
              <w:bidi w:val="0"/>
              <w:spacing w:before="0" w:after="283"/>
              <w:jc w:val="left"/>
              <w:rPr>
                <w:caps w:val="false"/>
                <w:smallCaps w:val="false"/>
              </w:rPr>
            </w:pPr>
            <w:r>
              <w:rPr>
                <w:caps w:val="false"/>
                <w:smallCaps w:val="false"/>
              </w:rPr>
              <w:t> </w:t>
            </w:r>
          </w:p>
        </w:tc>
        <w:tc>
          <w:tcPr>
            <w:tcW w:w="182" w:type="dxa"/>
            <w:tcBorders/>
            <w:vAlign w:val="center"/>
          </w:tcPr>
          <w:p>
            <w:pPr>
              <w:pStyle w:val="TableContents"/>
              <w:bidi w:val="0"/>
              <w:spacing w:before="0" w:after="283"/>
              <w:jc w:val="left"/>
              <w:rPr>
                <w:caps w:val="false"/>
                <w:smallCaps w:val="false"/>
              </w:rPr>
            </w:pPr>
            <w:r>
              <w:rPr>
                <w:caps w:val="false"/>
                <w:smallCaps w:val="false"/>
              </w:rPr>
              <w:t> </w:t>
            </w:r>
          </w:p>
        </w:tc>
        <w:tc>
          <w:tcPr>
            <w:tcW w:w="993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7"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82"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9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Foot-to-floor ride-on products, including those based on BBC’s Bluey®, Fisher-Price®, Nickelodeon®, and Hasbro® licenses and inflatable play environments, tents and wagons; </w:t>
            </w:r>
          </w:p>
        </w:tc>
      </w:tr>
      <w:tr>
        <w:trPr/>
        <w:tc>
          <w:tcPr>
            <w:tcW w:w="87" w:type="dxa"/>
            <w:tcBorders/>
            <w:vAlign w:val="center"/>
          </w:tcPr>
          <w:p>
            <w:pPr>
              <w:pStyle w:val="TableContents"/>
              <w:bidi w:val="0"/>
              <w:spacing w:before="0" w:after="283"/>
              <w:jc w:val="left"/>
              <w:rPr>
                <w:caps w:val="false"/>
                <w:smallCaps w:val="false"/>
              </w:rPr>
            </w:pPr>
            <w:r>
              <w:rPr>
                <w:caps w:val="false"/>
                <w:smallCaps w:val="false"/>
              </w:rPr>
              <w:t> </w:t>
            </w:r>
          </w:p>
        </w:tc>
        <w:tc>
          <w:tcPr>
            <w:tcW w:w="182" w:type="dxa"/>
            <w:tcBorders/>
            <w:vAlign w:val="center"/>
          </w:tcPr>
          <w:p>
            <w:pPr>
              <w:pStyle w:val="TableContents"/>
              <w:bidi w:val="0"/>
              <w:spacing w:before="0" w:after="283"/>
              <w:jc w:val="left"/>
              <w:rPr>
                <w:caps w:val="false"/>
                <w:smallCaps w:val="false"/>
              </w:rPr>
            </w:pPr>
            <w:r>
              <w:rPr>
                <w:caps w:val="false"/>
                <w:smallCaps w:val="false"/>
              </w:rPr>
              <w:t> </w:t>
            </w:r>
          </w:p>
        </w:tc>
        <w:tc>
          <w:tcPr>
            <w:tcW w:w="993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7" w:type="dxa"/>
            <w:tcBorders/>
            <w:vAlign w:val="center"/>
          </w:tcPr>
          <w:p>
            <w:pPr>
              <w:pStyle w:val="TableContents"/>
              <w:bidi w:val="0"/>
              <w:spacing w:before="0" w:after="283"/>
              <w:jc w:val="left"/>
              <w:rPr>
                <w:caps w:val="false"/>
                <w:smallCaps w:val="false"/>
              </w:rPr>
            </w:pPr>
            <w:r>
              <w:rPr>
                <w:caps w:val="false"/>
                <w:smallCaps w:val="false"/>
              </w:rPr>
              <w:t> </w:t>
            </w:r>
          </w:p>
        </w:tc>
        <w:tc>
          <w:tcPr>
            <w:tcW w:w="182" w:type="dxa"/>
            <w:tcBorders/>
            <w:vAlign w:val="center"/>
          </w:tcPr>
          <w:p>
            <w:pPr>
              <w:pStyle w:val="TableContents"/>
              <w:bidi w:val="0"/>
              <w:spacing w:before="0" w:after="283"/>
              <w:jc w:val="left"/>
              <w:rPr>
                <w:caps w:val="false"/>
                <w:smallCaps w:val="false"/>
              </w:rPr>
            </w:pPr>
            <w:r>
              <w:rPr>
                <w:caps w:val="false"/>
                <w:smallCaps w:val="false"/>
              </w:rPr>
              <w:t>●</w:t>
            </w:r>
          </w:p>
        </w:tc>
        <w:tc>
          <w:tcPr>
            <w:tcW w:w="99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Role play, dress-up, pretend play and novelty products for boys and girls based on well-known brands and entertainment properties such as Disney Frozen®, Black &amp; Decker®, Disney Princess®, and Disney Encanto®, as well as those based on our own proprietary brands;</w:t>
            </w:r>
          </w:p>
        </w:tc>
      </w:tr>
      <w:tr>
        <w:trPr/>
        <w:tc>
          <w:tcPr>
            <w:tcW w:w="87" w:type="dxa"/>
            <w:tcBorders/>
            <w:vAlign w:val="center"/>
          </w:tcPr>
          <w:p>
            <w:pPr>
              <w:pStyle w:val="TableContents"/>
              <w:bidi w:val="0"/>
              <w:spacing w:before="0" w:after="283"/>
              <w:jc w:val="left"/>
              <w:rPr>
                <w:caps w:val="false"/>
                <w:smallCaps w:val="false"/>
              </w:rPr>
            </w:pPr>
            <w:r>
              <w:rPr>
                <w:caps w:val="false"/>
                <w:smallCaps w:val="false"/>
              </w:rPr>
              <w:t> </w:t>
            </w:r>
          </w:p>
        </w:tc>
        <w:tc>
          <w:tcPr>
            <w:tcW w:w="182" w:type="dxa"/>
            <w:tcBorders/>
            <w:vAlign w:val="center"/>
          </w:tcPr>
          <w:p>
            <w:pPr>
              <w:pStyle w:val="TableContents"/>
              <w:bidi w:val="0"/>
              <w:spacing w:before="0" w:after="283"/>
              <w:jc w:val="left"/>
              <w:rPr>
                <w:caps w:val="false"/>
                <w:smallCaps w:val="false"/>
              </w:rPr>
            </w:pPr>
            <w:r>
              <w:rPr>
                <w:caps w:val="false"/>
                <w:smallCaps w:val="false"/>
              </w:rPr>
              <w:t> </w:t>
            </w:r>
          </w:p>
        </w:tc>
        <w:tc>
          <w:tcPr>
            <w:tcW w:w="993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7" w:type="dxa"/>
            <w:tcBorders/>
            <w:vAlign w:val="center"/>
          </w:tcPr>
          <w:p>
            <w:pPr>
              <w:pStyle w:val="TableContents"/>
              <w:bidi w:val="0"/>
              <w:spacing w:before="0" w:after="283"/>
              <w:jc w:val="left"/>
              <w:rPr>
                <w:caps w:val="false"/>
                <w:smallCaps w:val="false"/>
              </w:rPr>
            </w:pPr>
            <w:r>
              <w:rPr>
                <w:caps w:val="false"/>
                <w:smallCaps w:val="false"/>
              </w:rPr>
              <w:t> </w:t>
            </w:r>
          </w:p>
        </w:tc>
        <w:tc>
          <w:tcPr>
            <w:tcW w:w="182" w:type="dxa"/>
            <w:tcBorders/>
            <w:vAlign w:val="center"/>
          </w:tcPr>
          <w:p>
            <w:pPr>
              <w:pStyle w:val="TableContents"/>
              <w:bidi w:val="0"/>
              <w:spacing w:before="0" w:after="283"/>
              <w:jc w:val="left"/>
              <w:rPr>
                <w:caps w:val="false"/>
                <w:smallCaps w:val="false"/>
              </w:rPr>
            </w:pPr>
            <w:r>
              <w:rPr>
                <w:caps w:val="false"/>
                <w:smallCaps w:val="false"/>
              </w:rPr>
              <w:t>●</w:t>
            </w:r>
          </w:p>
        </w:tc>
        <w:tc>
          <w:tcPr>
            <w:tcW w:w="99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Indoor and outdoor kids’ furniture, activity trays and tables and room décor, seasonal and outdoor products, including those based on Disney® characters, Nickelodeon® and Hasbro® licenses;</w:t>
            </w:r>
          </w:p>
        </w:tc>
      </w:tr>
      <w:tr>
        <w:trPr/>
        <w:tc>
          <w:tcPr>
            <w:tcW w:w="87" w:type="dxa"/>
            <w:tcBorders/>
            <w:vAlign w:val="center"/>
          </w:tcPr>
          <w:p>
            <w:pPr>
              <w:pStyle w:val="TableContents"/>
              <w:bidi w:val="0"/>
              <w:spacing w:before="0" w:after="283"/>
              <w:jc w:val="left"/>
              <w:rPr>
                <w:caps w:val="false"/>
                <w:smallCaps w:val="false"/>
              </w:rPr>
            </w:pPr>
            <w:r>
              <w:rPr>
                <w:caps w:val="false"/>
                <w:smallCaps w:val="false"/>
              </w:rPr>
              <w:t> </w:t>
            </w:r>
          </w:p>
        </w:tc>
        <w:tc>
          <w:tcPr>
            <w:tcW w:w="182" w:type="dxa"/>
            <w:tcBorders/>
            <w:vAlign w:val="center"/>
          </w:tcPr>
          <w:p>
            <w:pPr>
              <w:pStyle w:val="TableContents"/>
              <w:bidi w:val="0"/>
              <w:spacing w:before="0" w:after="283"/>
              <w:jc w:val="left"/>
              <w:rPr>
                <w:caps w:val="false"/>
                <w:smallCaps w:val="false"/>
              </w:rPr>
            </w:pPr>
            <w:r>
              <w:rPr>
                <w:caps w:val="false"/>
                <w:smallCaps w:val="false"/>
              </w:rPr>
              <w:t> </w:t>
            </w:r>
          </w:p>
        </w:tc>
        <w:tc>
          <w:tcPr>
            <w:tcW w:w="993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7"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82"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9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Halloween and everyday costumes for children and in some cases teens and adults based on licensed and proprietary non-licensed brands, including Super Mario Bros.®, Microsoft’s Halo®, Disney-Pixar Toy Story®, Harry Potter®, Minions®, Sesame Street®, Power Rangers®¸ Pokemon®, Hasbro® brands, Universal’s Wicked® and Disney Frozen®, Disney Princess® and related Halloween accessories; </w:t>
            </w:r>
          </w:p>
        </w:tc>
      </w:tr>
      <w:tr>
        <w:trPr/>
        <w:tc>
          <w:tcPr>
            <w:tcW w:w="87" w:type="dxa"/>
            <w:tcBorders/>
            <w:vAlign w:val="center"/>
          </w:tcPr>
          <w:p>
            <w:pPr>
              <w:pStyle w:val="TableContents"/>
              <w:bidi w:val="0"/>
              <w:spacing w:before="0" w:after="283"/>
              <w:jc w:val="left"/>
              <w:rPr>
                <w:caps w:val="false"/>
                <w:smallCaps w:val="false"/>
              </w:rPr>
            </w:pPr>
            <w:r>
              <w:rPr>
                <w:caps w:val="false"/>
                <w:smallCaps w:val="false"/>
              </w:rPr>
              <w:t> </w:t>
            </w:r>
          </w:p>
        </w:tc>
        <w:tc>
          <w:tcPr>
            <w:tcW w:w="182" w:type="dxa"/>
            <w:tcBorders/>
            <w:vAlign w:val="center"/>
          </w:tcPr>
          <w:p>
            <w:pPr>
              <w:pStyle w:val="TableContents"/>
              <w:bidi w:val="0"/>
              <w:spacing w:before="0" w:after="283"/>
              <w:jc w:val="left"/>
              <w:rPr>
                <w:caps w:val="false"/>
                <w:smallCaps w:val="false"/>
              </w:rPr>
            </w:pPr>
            <w:r>
              <w:rPr>
                <w:caps w:val="false"/>
                <w:smallCaps w:val="false"/>
              </w:rPr>
              <w:t> </w:t>
            </w:r>
          </w:p>
        </w:tc>
        <w:tc>
          <w:tcPr>
            <w:tcW w:w="993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7"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82"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9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Outdoor activity toys including ReDo Skateboard Co.® and junior sports toys including Sky Ball® hyper-charged balls, SportsZone® sport sets and Wave Hoop® toy hoops marketed under our Maui® brand; and </w:t>
            </w:r>
          </w:p>
        </w:tc>
      </w:tr>
      <w:tr>
        <w:trPr/>
        <w:tc>
          <w:tcPr>
            <w:tcW w:w="87" w:type="dxa"/>
            <w:tcBorders/>
            <w:vAlign w:val="center"/>
          </w:tcPr>
          <w:p>
            <w:pPr>
              <w:pStyle w:val="TableContents"/>
              <w:bidi w:val="0"/>
              <w:spacing w:before="0" w:after="283"/>
              <w:jc w:val="left"/>
              <w:rPr>
                <w:caps w:val="false"/>
                <w:smallCaps w:val="false"/>
              </w:rPr>
            </w:pPr>
            <w:r>
              <w:rPr>
                <w:caps w:val="false"/>
                <w:smallCaps w:val="false"/>
              </w:rPr>
              <w:t> </w:t>
            </w:r>
          </w:p>
        </w:tc>
        <w:tc>
          <w:tcPr>
            <w:tcW w:w="182" w:type="dxa"/>
            <w:tcBorders/>
            <w:vAlign w:val="center"/>
          </w:tcPr>
          <w:p>
            <w:pPr>
              <w:pStyle w:val="TableContents"/>
              <w:bidi w:val="0"/>
              <w:spacing w:before="0" w:after="283"/>
              <w:jc w:val="left"/>
              <w:rPr>
                <w:caps w:val="false"/>
                <w:smallCaps w:val="false"/>
              </w:rPr>
            </w:pPr>
            <w:r>
              <w:rPr>
                <w:caps w:val="false"/>
                <w:smallCaps w:val="false"/>
              </w:rPr>
              <w:t> </w:t>
            </w:r>
          </w:p>
        </w:tc>
        <w:tc>
          <w:tcPr>
            <w:tcW w:w="993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7" w:type="dxa"/>
            <w:tcBorders/>
            <w:vAlign w:val="center"/>
          </w:tcPr>
          <w:p>
            <w:pPr>
              <w:pStyle w:val="TableContents"/>
              <w:bidi w:val="0"/>
              <w:spacing w:before="0" w:after="283"/>
              <w:jc w:val="left"/>
              <w:rPr>
                <w:caps w:val="false"/>
                <w:smallCaps w:val="false"/>
              </w:rPr>
            </w:pPr>
            <w:r>
              <w:rPr>
                <w:caps w:val="false"/>
                <w:smallCaps w:val="false"/>
              </w:rPr>
              <w:t> </w:t>
            </w:r>
          </w:p>
        </w:tc>
        <w:tc>
          <w:tcPr>
            <w:tcW w:w="182" w:type="dxa"/>
            <w:tcBorders/>
            <w:vAlign w:val="center"/>
          </w:tcPr>
          <w:p>
            <w:pPr>
              <w:pStyle w:val="TableContents"/>
              <w:bidi w:val="0"/>
              <w:spacing w:before="0" w:after="283"/>
              <w:jc w:val="left"/>
              <w:rPr>
                <w:caps w:val="false"/>
                <w:smallCaps w:val="false"/>
              </w:rPr>
            </w:pPr>
            <w:r>
              <w:rPr>
                <w:caps w:val="false"/>
                <w:smallCaps w:val="false"/>
              </w:rPr>
              <w:t>●</w:t>
            </w:r>
          </w:p>
        </w:tc>
        <w:tc>
          <w:tcPr>
            <w:tcW w:w="99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Board games under the brand JAKKS Wild Games®, including Temple Raider®, K.O. Corral® and Galactic JAXX™.</w:t>
            </w:r>
          </w:p>
        </w:tc>
      </w:tr>
      <w:tr>
        <w:trPr/>
        <w:tc>
          <w:tcPr>
            <w:tcW w:w="87" w:type="dxa"/>
            <w:tcBorders/>
            <w:vAlign w:val="center"/>
          </w:tcPr>
          <w:p>
            <w:pPr>
              <w:pStyle w:val="TableContents"/>
              <w:bidi w:val="0"/>
              <w:spacing w:before="0" w:after="283"/>
              <w:jc w:val="left"/>
              <w:rPr>
                <w:caps w:val="false"/>
                <w:smallCaps w:val="false"/>
              </w:rPr>
            </w:pPr>
            <w:r>
              <w:rPr>
                <w:caps w:val="false"/>
                <w:smallCaps w:val="false"/>
              </w:rPr>
              <w:t> </w:t>
            </w:r>
          </w:p>
        </w:tc>
        <w:tc>
          <w:tcPr>
            <w:tcW w:w="182" w:type="dxa"/>
            <w:tcBorders/>
            <w:vAlign w:val="center"/>
          </w:tcPr>
          <w:p>
            <w:pPr>
              <w:pStyle w:val="TableContents"/>
              <w:bidi w:val="0"/>
              <w:spacing w:before="0" w:after="283"/>
              <w:jc w:val="left"/>
              <w:rPr>
                <w:caps w:val="false"/>
                <w:smallCaps w:val="false"/>
              </w:rPr>
            </w:pPr>
            <w:r>
              <w:rPr>
                <w:caps w:val="false"/>
                <w:smallCaps w:val="false"/>
              </w:rPr>
              <w:t> </w:t>
            </w:r>
          </w:p>
        </w:tc>
        <w:tc>
          <w:tcPr>
            <w:tcW w:w="993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7" w:type="dxa"/>
            <w:tcBorders/>
            <w:vAlign w:val="center"/>
          </w:tcPr>
          <w:p>
            <w:pPr>
              <w:pStyle w:val="TableContents"/>
              <w:bidi w:val="0"/>
              <w:spacing w:before="0" w:after="283"/>
              <w:jc w:val="left"/>
              <w:rPr>
                <w:caps w:val="false"/>
                <w:smallCaps w:val="false"/>
              </w:rPr>
            </w:pPr>
            <w:r>
              <w:rPr>
                <w:caps w:val="false"/>
                <w:smallCaps w:val="false"/>
              </w:rPr>
              <w:t> </w:t>
            </w:r>
          </w:p>
        </w:tc>
        <w:tc>
          <w:tcPr>
            <w:tcW w:w="182" w:type="dxa"/>
            <w:tcBorders/>
            <w:vAlign w:val="center"/>
          </w:tcPr>
          <w:p>
            <w:pPr>
              <w:pStyle w:val="TableContents"/>
              <w:bidi w:val="0"/>
              <w:spacing w:before="0" w:after="283"/>
              <w:jc w:val="left"/>
              <w:rPr>
                <w:caps w:val="false"/>
                <w:smallCaps w:val="false"/>
              </w:rPr>
            </w:pPr>
            <w:r>
              <w:rPr>
                <w:caps w:val="false"/>
                <w:smallCaps w:val="false"/>
              </w:rPr>
              <w:t> </w:t>
            </w:r>
          </w:p>
        </w:tc>
        <w:tc>
          <w:tcPr>
            <w:tcW w:w="99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continually review the marketplace to identify and evaluate popular and evergreen brands and product categories that we believe have the potential for growth. We endeavor to generate growth within these lines by:</w:t>
            </w:r>
          </w:p>
        </w:tc>
      </w:tr>
      <w:tr>
        <w:trPr/>
        <w:tc>
          <w:tcPr>
            <w:tcW w:w="87" w:type="dxa"/>
            <w:tcBorders/>
            <w:vAlign w:val="center"/>
          </w:tcPr>
          <w:p>
            <w:pPr>
              <w:pStyle w:val="TableContents"/>
              <w:bidi w:val="0"/>
              <w:spacing w:before="0" w:after="283"/>
              <w:jc w:val="left"/>
              <w:rPr>
                <w:caps w:val="false"/>
                <w:smallCaps w:val="false"/>
              </w:rPr>
            </w:pPr>
            <w:r>
              <w:rPr>
                <w:caps w:val="false"/>
                <w:smallCaps w:val="false"/>
              </w:rPr>
              <w:t> </w:t>
            </w:r>
          </w:p>
        </w:tc>
        <w:tc>
          <w:tcPr>
            <w:tcW w:w="182" w:type="dxa"/>
            <w:tcBorders/>
            <w:vAlign w:val="center"/>
          </w:tcPr>
          <w:p>
            <w:pPr>
              <w:pStyle w:val="TableContents"/>
              <w:bidi w:val="0"/>
              <w:spacing w:before="0" w:after="283"/>
              <w:jc w:val="left"/>
              <w:rPr>
                <w:caps w:val="false"/>
                <w:smallCaps w:val="false"/>
              </w:rPr>
            </w:pPr>
            <w:r>
              <w:rPr>
                <w:caps w:val="false"/>
                <w:smallCaps w:val="false"/>
              </w:rPr>
              <w:t> </w:t>
            </w:r>
          </w:p>
        </w:tc>
        <w:tc>
          <w:tcPr>
            <w:tcW w:w="993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7" w:type="dxa"/>
            <w:tcBorders/>
            <w:vAlign w:val="center"/>
          </w:tcPr>
          <w:p>
            <w:pPr>
              <w:pStyle w:val="TableContents"/>
              <w:bidi w:val="0"/>
              <w:spacing w:before="0" w:after="283"/>
              <w:jc w:val="left"/>
              <w:rPr>
                <w:caps w:val="false"/>
                <w:smallCaps w:val="false"/>
              </w:rPr>
            </w:pPr>
            <w:r>
              <w:rPr>
                <w:caps w:val="false"/>
                <w:smallCaps w:val="false"/>
              </w:rPr>
              <w:t> </w:t>
            </w:r>
          </w:p>
        </w:tc>
        <w:tc>
          <w:tcPr>
            <w:tcW w:w="182" w:type="dxa"/>
            <w:tcBorders/>
            <w:vAlign w:val="center"/>
          </w:tcPr>
          <w:p>
            <w:pPr>
              <w:pStyle w:val="TableContents"/>
              <w:bidi w:val="0"/>
              <w:spacing w:before="0" w:after="283"/>
              <w:jc w:val="left"/>
              <w:rPr>
                <w:caps w:val="false"/>
                <w:smallCaps w:val="false"/>
              </w:rPr>
            </w:pPr>
            <w:r>
              <w:rPr>
                <w:caps w:val="false"/>
                <w:smallCaps w:val="false"/>
              </w:rPr>
              <w:t>●</w:t>
            </w:r>
          </w:p>
        </w:tc>
        <w:tc>
          <w:tcPr>
            <w:tcW w:w="99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creating innovative products under our established licenses and brand names;</w:t>
            </w:r>
          </w:p>
        </w:tc>
      </w:tr>
      <w:tr>
        <w:trPr/>
        <w:tc>
          <w:tcPr>
            <w:tcW w:w="87" w:type="dxa"/>
            <w:tcBorders/>
            <w:vAlign w:val="center"/>
          </w:tcPr>
          <w:p>
            <w:pPr>
              <w:pStyle w:val="TableContents"/>
              <w:bidi w:val="0"/>
              <w:spacing w:before="0" w:after="283"/>
              <w:jc w:val="left"/>
              <w:rPr>
                <w:caps w:val="false"/>
                <w:smallCaps w:val="false"/>
              </w:rPr>
            </w:pPr>
            <w:r>
              <w:rPr>
                <w:caps w:val="false"/>
                <w:smallCaps w:val="false"/>
              </w:rPr>
              <w:t> </w:t>
            </w:r>
          </w:p>
        </w:tc>
        <w:tc>
          <w:tcPr>
            <w:tcW w:w="182" w:type="dxa"/>
            <w:tcBorders/>
            <w:vAlign w:val="center"/>
          </w:tcPr>
          <w:p>
            <w:pPr>
              <w:pStyle w:val="TableContents"/>
              <w:bidi w:val="0"/>
              <w:spacing w:before="0" w:after="283"/>
              <w:jc w:val="left"/>
              <w:rPr>
                <w:caps w:val="false"/>
                <w:smallCaps w:val="false"/>
              </w:rPr>
            </w:pPr>
            <w:r>
              <w:rPr>
                <w:caps w:val="false"/>
                <w:smallCaps w:val="false"/>
              </w:rPr>
              <w:t> </w:t>
            </w:r>
          </w:p>
        </w:tc>
        <w:tc>
          <w:tcPr>
            <w:tcW w:w="993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7" w:type="dxa"/>
            <w:tcBorders/>
            <w:vAlign w:val="center"/>
          </w:tcPr>
          <w:p>
            <w:pPr>
              <w:pStyle w:val="TableContents"/>
              <w:bidi w:val="0"/>
              <w:spacing w:before="0" w:after="283"/>
              <w:jc w:val="left"/>
              <w:rPr>
                <w:caps w:val="false"/>
                <w:smallCaps w:val="false"/>
              </w:rPr>
            </w:pPr>
            <w:r>
              <w:rPr>
                <w:caps w:val="false"/>
                <w:smallCaps w:val="false"/>
              </w:rPr>
              <w:t> </w:t>
            </w:r>
          </w:p>
        </w:tc>
        <w:tc>
          <w:tcPr>
            <w:tcW w:w="182" w:type="dxa"/>
            <w:tcBorders/>
            <w:vAlign w:val="center"/>
          </w:tcPr>
          <w:p>
            <w:pPr>
              <w:pStyle w:val="TableContents"/>
              <w:bidi w:val="0"/>
              <w:spacing w:before="0" w:after="283"/>
              <w:jc w:val="left"/>
              <w:rPr>
                <w:caps w:val="false"/>
                <w:smallCaps w:val="false"/>
              </w:rPr>
            </w:pPr>
            <w:r>
              <w:rPr>
                <w:caps w:val="false"/>
                <w:smallCaps w:val="false"/>
              </w:rPr>
              <w:t>●</w:t>
            </w:r>
          </w:p>
        </w:tc>
        <w:tc>
          <w:tcPr>
            <w:tcW w:w="99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adding new items to the branded product lines that we expect will enjoy greater popularity;</w:t>
            </w:r>
          </w:p>
        </w:tc>
      </w:tr>
      <w:tr>
        <w:trPr/>
        <w:tc>
          <w:tcPr>
            <w:tcW w:w="87" w:type="dxa"/>
            <w:tcBorders/>
            <w:vAlign w:val="center"/>
          </w:tcPr>
          <w:p>
            <w:pPr>
              <w:pStyle w:val="TableContents"/>
              <w:bidi w:val="0"/>
              <w:spacing w:before="0" w:after="283"/>
              <w:jc w:val="left"/>
              <w:rPr>
                <w:caps w:val="false"/>
                <w:smallCaps w:val="false"/>
              </w:rPr>
            </w:pPr>
            <w:r>
              <w:rPr>
                <w:caps w:val="false"/>
                <w:smallCaps w:val="false"/>
              </w:rPr>
              <w:t> </w:t>
            </w:r>
          </w:p>
        </w:tc>
        <w:tc>
          <w:tcPr>
            <w:tcW w:w="182" w:type="dxa"/>
            <w:tcBorders/>
            <w:vAlign w:val="center"/>
          </w:tcPr>
          <w:p>
            <w:pPr>
              <w:pStyle w:val="TableContents"/>
              <w:bidi w:val="0"/>
              <w:spacing w:before="0" w:after="283"/>
              <w:jc w:val="left"/>
              <w:rPr>
                <w:caps w:val="false"/>
                <w:smallCaps w:val="false"/>
              </w:rPr>
            </w:pPr>
            <w:r>
              <w:rPr>
                <w:caps w:val="false"/>
                <w:smallCaps w:val="false"/>
              </w:rPr>
              <w:t> </w:t>
            </w:r>
          </w:p>
        </w:tc>
        <w:tc>
          <w:tcPr>
            <w:tcW w:w="993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7" w:type="dxa"/>
            <w:tcBorders/>
            <w:vAlign w:val="center"/>
          </w:tcPr>
          <w:p>
            <w:pPr>
              <w:pStyle w:val="TableContents"/>
              <w:bidi w:val="0"/>
              <w:spacing w:before="0" w:after="283"/>
              <w:jc w:val="left"/>
              <w:rPr>
                <w:caps w:val="false"/>
                <w:smallCaps w:val="false"/>
              </w:rPr>
            </w:pPr>
            <w:r>
              <w:rPr>
                <w:caps w:val="false"/>
                <w:smallCaps w:val="false"/>
              </w:rPr>
              <w:t> </w:t>
            </w:r>
          </w:p>
        </w:tc>
        <w:tc>
          <w:tcPr>
            <w:tcW w:w="182" w:type="dxa"/>
            <w:tcBorders/>
            <w:vAlign w:val="center"/>
          </w:tcPr>
          <w:p>
            <w:pPr>
              <w:pStyle w:val="TableContents"/>
              <w:bidi w:val="0"/>
              <w:spacing w:before="0" w:after="283"/>
              <w:jc w:val="left"/>
              <w:rPr>
                <w:caps w:val="false"/>
                <w:smallCaps w:val="false"/>
              </w:rPr>
            </w:pPr>
            <w:r>
              <w:rPr>
                <w:caps w:val="false"/>
                <w:smallCaps w:val="false"/>
              </w:rPr>
              <w:t>●</w:t>
            </w:r>
          </w:p>
        </w:tc>
        <w:tc>
          <w:tcPr>
            <w:tcW w:w="99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infusing innovation and technology when appropriate to make products more appealing to today’s kids; and</w:t>
            </w:r>
          </w:p>
        </w:tc>
      </w:tr>
      <w:tr>
        <w:trPr/>
        <w:tc>
          <w:tcPr>
            <w:tcW w:w="87" w:type="dxa"/>
            <w:tcBorders/>
            <w:vAlign w:val="center"/>
          </w:tcPr>
          <w:p>
            <w:pPr>
              <w:pStyle w:val="TableContents"/>
              <w:bidi w:val="0"/>
              <w:spacing w:before="0" w:after="283"/>
              <w:jc w:val="left"/>
              <w:rPr>
                <w:caps w:val="false"/>
                <w:smallCaps w:val="false"/>
              </w:rPr>
            </w:pPr>
            <w:r>
              <w:rPr>
                <w:caps w:val="false"/>
                <w:smallCaps w:val="false"/>
              </w:rPr>
              <w:t> </w:t>
            </w:r>
          </w:p>
        </w:tc>
        <w:tc>
          <w:tcPr>
            <w:tcW w:w="182" w:type="dxa"/>
            <w:tcBorders/>
            <w:vAlign w:val="center"/>
          </w:tcPr>
          <w:p>
            <w:pPr>
              <w:pStyle w:val="TableContents"/>
              <w:bidi w:val="0"/>
              <w:spacing w:before="0" w:after="283"/>
              <w:jc w:val="left"/>
              <w:rPr>
                <w:caps w:val="false"/>
                <w:smallCaps w:val="false"/>
              </w:rPr>
            </w:pPr>
            <w:r>
              <w:rPr>
                <w:caps w:val="false"/>
                <w:smallCaps w:val="false"/>
              </w:rPr>
              <w:t> </w:t>
            </w:r>
          </w:p>
        </w:tc>
        <w:tc>
          <w:tcPr>
            <w:tcW w:w="993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7" w:type="dxa"/>
            <w:tcBorders/>
            <w:vAlign w:val="center"/>
          </w:tcPr>
          <w:p>
            <w:pPr>
              <w:pStyle w:val="TableContents"/>
              <w:bidi w:val="0"/>
              <w:spacing w:before="0" w:after="283"/>
              <w:jc w:val="left"/>
              <w:rPr>
                <w:caps w:val="false"/>
                <w:smallCaps w:val="false"/>
              </w:rPr>
            </w:pPr>
            <w:r>
              <w:rPr>
                <w:caps w:val="false"/>
                <w:smallCaps w:val="false"/>
              </w:rPr>
              <w:t> </w:t>
            </w:r>
          </w:p>
        </w:tc>
        <w:tc>
          <w:tcPr>
            <w:tcW w:w="182" w:type="dxa"/>
            <w:tcBorders/>
            <w:vAlign w:val="center"/>
          </w:tcPr>
          <w:p>
            <w:pPr>
              <w:pStyle w:val="TableContents"/>
              <w:bidi w:val="0"/>
              <w:spacing w:before="0" w:after="283"/>
              <w:jc w:val="left"/>
              <w:rPr>
                <w:caps w:val="false"/>
                <w:smallCaps w:val="false"/>
              </w:rPr>
            </w:pPr>
            <w:r>
              <w:rPr>
                <w:caps w:val="false"/>
                <w:smallCaps w:val="false"/>
              </w:rPr>
              <w:t>●</w:t>
            </w:r>
          </w:p>
        </w:tc>
        <w:tc>
          <w:tcPr>
            <w:tcW w:w="99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expanding our international product offering either sold directly to retailers or via third-party distributors.</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Business Strategy</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In addition to developing our own proprietary brands, properties and marks, licensing popular IP enables us to use these high-profile marks at a lower cost than we would incur if we purchased these marks or funded the development of comparable marks on our own. Beyond the investment profile, we have an appreciation of the challenges and expertise required to break through the noise in a world filled with high-budget, content-centric consumer choices either based on well-known pre-existing IP or the even higher hurdle to launch new IP in the current marketplace. By licensing IP and trademarks from world-class brand owners and content creators, we have access to a far greater range of marks than would be available for purchase. Licensors ultimately are responsible for the franchise management of their IP, and we by extension leverage their related investment in content and promotion, which we hope in turn will create a robust market for our related toy, consumer products and costume product lines. Licensors often also invest resources in engaging our largest customers directly to keep them aware of new initiatives and content to facilitate our sell-in of product. It also helps to credibly assure licensors that we will prioritize their brands, properties and IP rather than explicitly competing with them with a broad range of self-developed content-led offerings. We also license technology developed by unaffiliated inventors and product developers to enhance the design, innovation and functionality of our products.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We sell our products through our in-house sales staff and independent sales representatives to toy and mass-market retail chain stores, department stores, office supply stores, drug and grocery store chains, club stores, value-oriented dollar stores, toy specialty stores and wholesalers. Our two largest customers are Target® and Walmart®, which accounted for 26.6% and 26.1%, respectively, of our net sales in 2025. No other customer accounted for more than 10% of our net sales in 2025.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Corporate Information</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were formed as a Delaware corporation in 1995. Our principal executive offices are located at 2951 28th Street, Santa Monica, California 90405. Our telephone number is (424) 268-9444 and our Internet Website address is www.jakks.com. The contents of our website are not incorporated in or deemed to be a part of this Prospectus.</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6"/>
      <w:bookmarkEnd w:id="8"/>
      <w:r>
        <w:rPr>
          <w:rFonts w:ascii="Times New Roman;Times;Serif" w:hAnsi="Times New Roman;Times;Serif"/>
          <w:b/>
          <w:i w:val="false"/>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Investing in our securities involves risk. You should carefully consider the specific risks discussed or incorporated by reference in the applicable prospectus supplement or in this prospectus, together with all the other information contained or incorporated by reference in this prospectus or in an applicable prospectus supplement. In particular, you should consider the risks, uncertainties and assumptions discussed under the caption “Risk Factors” and elsewhere included in our Annual Report on Form 10-K for the fiscal year ended December 31, 2025 which are incorporated by reference in this prospectus and may be amended, supplemented or superseded from time to time by other reports we file with the SEC in the future. Our business, financial condition or results of operations could be materially adversely affected by any of these risks. The market or trading price of our securities could decline due to any of these risks, and you may lose all or part of your investment. In addition, please read the section of this prospectus captioned “Special Note Regarding Forward-Looking Statements,” in which we describe additional uncertainties associated with our business and the forward-looking statements included or incorporated by reference in this prospectus. Please note that additional risks not presently known to us or that we currently deem immaterial may also impair our business and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 any securities offered pursuant to this prospectus involves risks and uncertainties. If one or more of the events discussed in the risk factors were to occur, our business, financial condition, results of operations or liquidity, as well as the value of an investment in our securities, could be materially adversely affected.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_007"/>
      <w:bookmarkEnd w:id="9"/>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otherwise set forth in a prospectus supplement or in other offering materials we intend to use the net proceeds from the sale of our securities for general corporate purposes, which may include repayment or refinancing of indebtedness, capital expenditures and working capital. Pursuant to the terms of our existing loan documents with BMO Bank N.A., we may be required to use the funds raised hereunder to make mandatory, penalty free, prepayments of Loans equal to 100% of all Net Cash Proceeds (as such terms are defined in the applicable loan documents). Pending any of these uses, the net proceeds of a sale will be held in interest-bearing bank accounts or invested in readily marketable, interest-bearing securities. The applicable prospectus supplement will provide more details on the use of proceeds of any specific offering. If any of the net proceeds from the offered securities are used for acquisitions, we will identify the acquisition in the applicable prospectus supplement.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_008"/>
      <w:bookmarkEnd w:id="10"/>
      <w:r>
        <w:rPr>
          <w:rFonts w:ascii="Times New Roman;Times;Serif" w:hAnsi="Times New Roman;Times;Serif"/>
          <w:b/>
          <w:i w:val="false"/>
          <w:caps w:val="false"/>
          <w:smallCaps w:val="false"/>
          <w:sz w:val="20"/>
        </w:rPr>
        <w:t>DESCRIPTION OF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statements relating to our capital stock do not purport to be complete, and are subject to, and are qualified in their entirety by reference to, the provisions of the Certificate of Incorporation, as amended and restated, (the “Certificate”) and By-Laws, as amended, (the “By-Laws”) which are incorporated by reference as exhibits to the registration statement of which this prospectus is a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authorizes a total of 105,000,000 shares of capital stock, of which 100,000,000 may be shares of common stock and 5,000,000 may be shares of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April 20, 2026, 11,444,411 shares of common stock were issued and outstanding and an aggregate of 1,317,042 shares of common stock subject to unvested Restricted Stock Units issued to directors, employees, consultants and lenders remained outstanding.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April 20, 2026, there were 136 holders of record of our common stock, which excludes beneficial owners of our common stock whose shares are held in “street name.”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rights of the holders of any shares of preferred stock that may at the time be outstanding, if any, record holders of common stock are entitled to such dividends as the Board of Directors may declare. Holders of common stock are entitled to one vote for each share held in their name on all matters submitted to a vote of stockholders and do not have preemptive rights or cumulative voting rights. Holders of common stock are not subject to further calls or assessments as a result of their holding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JAKKS is liquidated, the holders of shares of common stock are entitled to share ratably in the distribution remaining after payment of debts and expenses and of the amounts to be paid on liquidation to the holders of shares of preferred stock,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for our common stock is Computershare Inc., Canton, 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Other Provisions of the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law permits a corporation to eliminate the personal liability of its directors to the corporation or to any of its stockholders for monetary damages for a breach of fiduciary duty as a director, except (i) for breach of the director’s duty of loyalty, (ii) for acts or omissions not in good faith or which involve intentional misconduct or a knowing violation of law, (iii) for certain unlawful dividends and stock repurchases or (iv) for any transaction from which the director derived an improper personal benefit. The Certificate provides for such limitation of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does not permit stockholder action by written consent in lieu of a meeting of stockholders. In addition, special meetings of stockholders may be called only by the Board of Directors, the Chief Executive Officer or the President.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Limitations on Directors’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provides that the personal liability of our directors shall be limited to the fullest extent permitted by the provisions of Section 102(b)(7) of the General Corporation Law of the State of Delaware (“DGCL”). Section 102(b)(7) of the DGCL generally provides that no director shall be liable personally to a company or its security holders for monetary damages for breach of fiduciary duty as a director, provided that the certificate of incorporation does not eliminate the liability of a director for (1) any breach of the director’s duty of loyalty to it or its security holders; (2) acts or omissions not in good faith or that involve intentional misconduct or a knowing violation of law; (3) acts or omissions in respect of certain unlawful dividend payments or stock redemptions or repurchases; or (4) any transaction from which such director derives an improper personal benefit. The effect of this provision is to eliminate the rights of a company and its security holders to recover monetary damages against a director for breach of her or his fiduciary duty of care as a director (including breaches resulting from negligent or grossly negligent behavior) except in the situations described in clauses (1) through (4) above. The limitations summarized above, however, do not affect the ability of a company or its security holders to seek non-monetary remedies, such as an injunction or rescission, against a director for breach of her or his fiduciary duty.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 of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Certificate provides that we shall, to the fullest extent permitted by Section 145 of the DGCL, indemnify all persons whom it may indemnify pursuant to Section 145 of the DGCL. In general, Section 145 of the DGCL permits us to indemnify our directors, officers, employees or agents or, when so serving at our request, as directors, officers, agents or employees of another company, who was or is a party or is threatened to be made a party to any proceeding because of his or her position, if he or she acted in good faith and in a manner reasonably believed to be in or not opposed to our best interests and, with respect to any criminal action or proceeding, had no reasonable cause to believe his or her conduct was unlawful.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directors’ and officers’ liability insurance policy covering certain liabilities that may be incurred by any director or officer in connection with the performance of his or her duties and certain liabilities that we may incur, including the indemnification payable to any director or officer. This policy provides for $60.0 million in maximum aggregate coverage, including defense costs. We pay the entire premium for such 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Global Select Market under the symbol “JAKK.”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 of Delaware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JAKKS is subject to the “business combination” provisions of Section 203 of Delaware law. In general, such provisions prohibit a publicly held Delaware corporation from engaging in various “business combination” transactions with any interested stockholder for a period of three years after the date of the transaction in which the person became an interested stockholder, unless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date the interested stockholder obtained such status, the Board of Directors of the corporation approved either the business combination or the transaction that resulted in the stockholder becoming an interested stockholder;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consummation of the transaction which resulted in the stockholder becoming an interested stockholder, the stockholder owned at least 85% of the voting stock of the corporation outstanding at the time the transaction commenced;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subsequent to such date, the business combination is approved by the Board of Directors of the corporation and authorized at an annual or special meeting of stockholders by the affirmative vote of at least 66 2/3% of the outstanding voting stock which is not owned by the interested stockholder.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“business combination” is defined to include mergers, asset sales and other transactions resulting in financial benefit to an interested stockholder. In general, an “interested stockholder” is a person who, together with affiliates and associates, owns (or within three years, did own) 15% or more of a corporation’s voting stock. The statute could prohibit or delay mergers or other takeover or change in control attempts with respect to JAKKS and, accordingly, may discourage attempts to acquire JAKKS even though such a transaction may offer JAKKS’ stockholders the opportunity to sell their stock at a price above the prevailing market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a_009"/>
      <w:bookmarkEnd w:id="11"/>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Five million shares of preferred stock are authorized by our Certificate of Incorporation. As of the date hereof, there are no outstanding shares of preferred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Incorporation authorizes our board of directors to establish one or more series of Preferred Stock. Unless required by law or any stock exchange, the authorized shares of Preferred Stock will be available for issuance without further action by the holders of our common stock. Subject to some rights held by our current preferred stockholders, our board of directors has the discretion to determine the powers, preferences and relative, participating, optional and other special rights, including voting rights, dividend rights, conversion rights, redemption privileges and liquidation preferences, of each series of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Preferred Stock may have the effect of delaying, deferring or preventing a change in control of the Company without further action by the stockholders. Additionally, the issuance of Preferred Stock may adversely affect the holders of our common stock by restricting dividends on the common stock, diluting the voting power of the common stock or subordinating the liquidation rights of the common stock. As a result of these or other factors, the issuance of Preferred Stock could have an adverse impact on the market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10"/>
      <w:bookmarkEnd w:id="12"/>
      <w:r>
        <w:rPr>
          <w:rFonts w:ascii="Times New Roman;Times;Serif" w:hAnsi="Times New Roman;Times;Serif"/>
          <w:b/>
          <w:i w:val="false"/>
          <w:caps w:val="false"/>
          <w:smallCaps w:val="false"/>
          <w:sz w:val="20"/>
        </w:rPr>
        <w:t>DESCRIPTION OF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either separately, or together with, or upon the conversion or exercise of or in exchange for, other securities described in this prospectus. Debt securities may be our senior, senior subordinated or subordinated obligations and may be issued in one or more series. Unless otherwise expressly stated in an accompanying prospectus supplement, the debt securities will represent our general, unsecured obligations and will rank equally with all of our other unsecured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debt securities that we issue will be issued under an indenture that will be entered into between us and a bank or trust company, or other trustee that is qualified to act under the Trust Indenture Act of 1939 (the “TIA”), which we select to act as trustee. A copy of the indenture (the “Indenture”) will be filed as an exhibit to a prospectus supplement to the registration statement of which this prospectus forms a part. The Indenture may be modified by one or more supplemental indentures, which we will incorporate by reference as an exhibit to the registration statement of which this prospectus is a part. Any debt securities that we issue will include those stated in the Indenture (including any supplemental indentures that specify the terms of a particular series of debt securities) as well as those made part of the Indenture by reference to the TIA, as in effect on the date of the Indenture. The Indenture will be subject to and governed by the terms of the TIA.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and any description in an accompanying prospectus supplement is a summary only and is subject to, and qualified in its entirety by reference to the terms and provisions of the indentures and any supplemental indentures that we file with the SEC in connection with an issuance of any series of debt securities. You should read all of the provisions of the Indentures, including the definitions of certain terms, as well as any supplemental indentures that we file with the SEC in connection with the issuance of any series of debt securities. These summaries set forth certain general terms and provisions of the securities to which any accompanying prospectus supplement may relate. The specific terms and provisions of a series of debt securities and the extent to which the general terms and provisions may also apply to a particular series of debt securities will be described in the accompanying prospectus supplement. Copies of the Indenture may be obtained from us or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the debt securities in one or more series, with the same or various maturities, at par or at a discount. We will describe the particular terms of each series of debt securities in an accompanying prospectus supplement relating to that series, which we will file with the SEC. Please read the accompanying prospectus supplement relating to the series of debt securities being offered for specific terms including, when applicable: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of the debt securities of the series;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or prices (expressed as a percentage of the principal amount thereof) at which debt securities of the series will be issued;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limit on the aggregate principal amount of that series of debt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such securities rank as senior debt securities, senior subordinated debt securities or subordinated debt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and conditions, if any, upon which the debt securities of the series shall be exchanged for or converted into other of our securities or securities of another person;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debt securities of the series will be secured by any collateral and, if so, a general description of the collateral and the terms and provisions of such collateral security, pledge or other agreements;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or dates on which we will pay the principal of the debt securities of the series;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rate or rates, which may be fixed or variable, at which debt securities of the series will bear interest, if any, or the method or methods, if applicable, used to determine those rates, the date or dates, if any, from which interest on the debt securities of the series will begin to accrue, or the method or methods, if any, used to determine those dates, the dates on which the interest, if any, on the debt securities of the series will be payable and the record dates for the payment of interest;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manner in which the amounts of payment of principal of or interest, if any, of the debt securities of the series will be determined, if such amounts may be determined by reference to an index based on a currency or currencies or by reference to a currency exchange rate, commodity, commodity index, stock exchange index or financial index;</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other than the corporate trust office of the Trustee, the place or places where amounts due on the debt securities of the series will be payable and where the debt securities of the series may be surrendered for registration of transfer and exchange and where notices and demands to or upon us in respect of the debt securities of the series may be served, and the method of such payment, if by wire transfer, mail or other means;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period or periods within which, and the terms and conditions upon which, we may, at our option, redeem debt securities of the series;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and conditions, if applicable, upon which the holders of debt securities may require us to repurchase or redeem debt securities of the series at the option of the holders of debt securities of the series;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terms and conditions, if any, with respect to any sinking fund or analogous provision;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authorized denominations in which the debt securities of the series will be issued, if other than denominations of $1,000 and any integral multiples of $1,000 in excess thereof;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debt securities of the series are to be issuable, in whole or in part, in bearer form (“bearer debt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any fully regulated debt securities of the series will be issued in temporary or permanent global form (“global debt securities”) and, if so, the identity of the depositary for the global debt securities if other than The Depository Trust Company (“DTC”);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depositaries, interest rate calculation agents, exchange rate calculation agents or other agents;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for the debt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portion of the principal amount of the debt securities of the series which will be payable upon acceleration of maturity, if other than the full principal amount;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addition to, or modification or deletion of, any covenant described in this prospectus or in the Indenture;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events of default, if not otherwise described below under “—Events of Default” and any change to the right of the holders to declare the principal of any debt securities due and payable;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other than U.S. dollars, the currency, currencies or currency units of denomination of the debt securities of the series, which may be any foreign currency, and if such currency denomination is a composite currency, the agency or organization, if any, responsible for overseeing such composite currency;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other than U.S. dollars, the currency, currencies or currency units in which the purchase price for the debt securities of the series will be payable, in which payments of principal and, if applicable, premium or interest on the debt securities of the series will be payable, and, if necessary, the manner in which the exchange rate with respect to such payments will be determined;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listing of the debt securities on any securities exchange;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additions or deletions to the defeasance or the satisfaction and discharge provisions set forth herein;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under what circumstances we will pay additional amounts (“Additional Amounts”) on the debt securities of the series in respect of specified taxes, assessments or other governmental charges and, if so, whether we will have the option to redeem the debt securities of the series rather than pay the Additional Amounts;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priority and kind of any lien securing the debt securities and a brief identification of the principal properties subject to such lien;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or deletions to or changes in the provisions relating to modification of the Indenture set forth herein;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terms of the debt securities of the series (whether or not such other terms are consistent or inconsistent with any other terms of the Indenture).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prospectus and any accompanying prospectus supplement relating to the offering of debt securities of any series, references to the principal of and premium, if any, and interest, if any, on the debt securities of the series include the payment of Additional Amounts, if any, required by the debt securities of the series to be paid in that context.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 may be issued as original issue discount securities to be sold at a substantial discount below their principal amount. In the event of an acceleration of the maturity of any original issue discount security, the amount payable to the holder upon acceleration will be determined in the manner described in the accompanying prospectus supplement. Certain U.S. federal income tax considerations applicable to original issue discount securities will be described in the accompanying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purchase price of any debt securities is payable in a foreign currency or if the principal of, or premium, if any, or interest, if any, on any debt securities is payable in a foreign currency, the specific terms of those debt securities and the applicable foreign currency will be specified in the accompanying prospectus supplement relating to those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debt securities of any series may differ from the terms of the debt securities of any other series, and the terms of particular debt securities within any series may differ from each other. Unless otherwise expressly provided in the accompanying prospectus supplement relating to any series of debt securities, we may, without the consent of the holders of the debt securities of any series, reopen an existing series of debt securities and issue additional debt securities of that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described in an accompanying prospectus supplement relating to any series of debt securities and except to the limited extent set forth below under “—Merger, Consolidation and Transfer of Assets,” there will be no limitation upon our ability to incur indebtedness or other liabilities or that would afford holders of debt securities protection in the event of a business combination, takeover, recapitalization or highly leveraged or similar transaction involving us. Accordingly, we may in the future enter into transactions that could increase the amount of our consolidated indebtedness and other liabilities or otherwise adversely affect our capital structure or credit rating without the consent of the holders of the debt securities of any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Transfer and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the applicable prospectus supplement, each series of debt securities will be issued in registered form only, without coupons.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the applicable prospectus supplement, debt securities will be issued in denominations of $1,000 or any integral multiples of $1,000 in excess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the accompanying prospectus supplement, the debt securities will be payable and may be surrendered for registration of transfer or exchange and, if applicable, for conversion into or exchange for other securities or property, at an office or agency maintained by us in the United States. However, we may, at our option, make payments of interest on any registered debt security by check mailed to the address of the person entitled to receive that payment or by wire transfer to an account maintained by the payee with a bank located in the United States. Unless otherwise indicated in the accompanying prospectus supplement, no service charge shall be made for any registration of transfer or exchange, redemption or repayment of debt securities, or for any conversion or exchange of debt securities for other securities or property, but we may require payment of a sum sufficient to cover any tax or other governmental charge that may be imposed in connection with that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the applicable prospectus supplement, we will not be required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register the transfer of or exchange debt securities of any series during a period beginning at the opening of business 15 days before any mailing of a notice of a redemption for the debt securities of that series selected for redemption and ending at the close of business on the day of such mailing;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 the transfer of or exchange any debt security, or portion of any debt security, selected for redemption, except the unredeemed portion of any registered debt security being redeemed in part.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Book-entry Debt Securities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securities of a series may be issued in whole or in part in the form of one or more global debt securities. Global debt securities will be deposited with, or on behalf of, a depositary which, unless otherwise specified in the applicable prospectus supplement relating to the series, will be The Depository Trust Company (or DTC). Global debt securities may be issued either temporary or permanent form. Unless and until it is exchanged in whole or in part for individual certificates evidencing debt securities, a global debt security may not be transferred except as a whole by the depositary to its nominee or by the nominee to the depositary, or by the depositary or its nominee to a successor depositary or to a nominee of the successor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that global debt securities will be deposited with, or on behalf of, DTC and that global debt securities will be registered in the name of DTC’s nominee, Cede &amp; Co. All interests in global debt securities deposited with, or on behalf of, DTC will be subject to the operations and procedures of DTC and, in the case of any interests in global debt securities held through Euroclear Bank S.A./N.V. (“Euroclear”) or Clearstream Banking, société anonyme (“Clearstream, Luxembourg”), the operations and procedures of Euroclear or Clearstream, Luxembourg, as the case may be. We also anticipate that the following provisions will apply to the depository arrangements with respect to global debt securities. Additional or differing terms of the depository arrangements may be described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has advised us that it is:</w:t>
      </w:r>
    </w:p>
    <w:p>
      <w:pPr>
        <w:pStyle w:val="TextBody"/>
        <w:bidi w:val="0"/>
        <w:spacing w:before="0" w:after="0"/>
        <w:ind w:left="0" w:right="0" w:hanging="0"/>
        <w:jc w:val="left"/>
        <w:rPr>
          <w:caps w:val="false"/>
          <w:smallCaps w:val="false"/>
        </w:rPr>
      </w:pPr>
      <w:r>
        <w:rPr>
          <w:caps w:val="false"/>
          <w:smallCaps w:val="false"/>
        </w:rPr>
        <w:t> </w:t>
      </w:r>
    </w:p>
    <w:tbl>
      <w:tblPr>
        <w:tblW w:w="7885" w:type="dxa"/>
        <w:jc w:val="left"/>
        <w:tblInd w:w="0" w:type="dxa"/>
        <w:tblLayout w:type="fixed"/>
        <w:tblCellMar>
          <w:top w:w="0" w:type="dxa"/>
          <w:left w:w="0" w:type="dxa"/>
          <w:bottom w:w="0" w:type="dxa"/>
          <w:right w:w="0" w:type="dxa"/>
        </w:tblCellMar>
      </w:tblPr>
      <w:tblGrid>
        <w:gridCol w:w="75"/>
        <w:gridCol w:w="170"/>
        <w:gridCol w:w="76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limited-purpose trust company organized under the New York Banking Law;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6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“banking organization” within the meaning of the New York Banking Law;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6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of the Federal Reserve System;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6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“clearing corporation” within the meaning of the New York Uniform Commercial Code;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6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“clearing agency” registered pursuant to the provisions of Section 17A of the Exchange 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holds securities that its participants deposit with DTC. DTC also facilitates the settlement among its participants of securities transactions, including transfers and pledges, in deposited securities through electronic computerized book-entry changes in participants’ accounts, which eliminates the need for physical movement of securities certificates. Direct participants include securities brokers and dealers, banks, trust companies, clearing corporations and other organizations. Access to the DTC system is also available to others, sometimes referred to in this prospectus as indirect participants, that clear transactions through or maintain a custodial relationship with a direct participant either directly or indirectly. Indirect participants include securities brokers and dealers, banks and trust companies. The rules applicable to DTC and its participants are on file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of debt securities within the DTC system must be made by or through direct participants, which will receive a credit for the debt securities on DTC’s records. The ownership interest of the actual purchaser or beneficial owner of a debt security is, in turn, recorded on the direct and indirect participants’ records. Beneficial owners will not receive written confirmation from DTC of their purchases, but beneficial owners are expected to receive written confirmations providing details of the transactions, as well as periodic statements of their holdings, from the direct or indirect participants through which they purchased the debt securities. Transfers of ownership interests in debt securities are to be accomplished by entries made on the books of participants acting on behalf of beneficial 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 will not receive certificates representing their ownership interests in the debt securities, except under the limited circumstances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facilitate subsequent transfers, all debt securities deposited by participants with DTC will be registered in the name of DTC’s nominee, Cede &amp; Co. The deposit of debt securities with DTC and their registration in the name of Cede &amp; Co. will not change the beneficial ownership of the debt securities. DTC has no knowledge of the actual beneficial owners of the debt securities. DTC’s records reflect only the identity of the direct participants to whose accounts the debt securities are credited. Those participants may or may not be the beneficial owners. The participants are responsible for keeping account of their holdings on behalf of their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Conveyance of notices and other communications by DTC to direct participants, by direct participants to indirect participants and by direct and indirect participants to beneficial owners will be governed by arrangements among them, subject to any legal requirements in effect from time to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notices shall be delivered electronically to DTC or its nominee. If less than all of the debt securities of a series are being redeemed, DTC will reduce the amount of the interest of each direct participant in the debt securities under its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case where a vote may be required with respect to the debt securities of any series, neither DTC nor Cede &amp; Co. will give consents for or vote the global debt securities. Under its usual procedures, DTC will mail an omnibus proxy to us after the record date. The omnibus proxy assigns the consenting or voting rights of Cede &amp; Co. to those direct participants to whose accounts the debt securities are credited on the record date identified in a listing attached to the omnibus proxy. Principal and premium, if any, and interest, if any, on the global debt securities will be paid to Cede &amp; Co., as nominee of DTC. DTC’s practice is to credit direct participants’ accounts on the relevant payment date unless DTC has reason to believe that it will not receive payments on the payment date. Payments by direct and indirect participants to beneficial owners will be governed by standing instructions and customary practices, as is the case with securities held for the account of customers in bearer form or registered in “street name.” Those payments will be the responsibility of DTC’s direct and indirect participants and not of DTC, us, the Trustee or any underwriters or agents involved in the offering or sale of any debt securities. Payment of principal, premium, if any, and interest, if any, to DTC is our responsibility, disbursement of payments to direct participants is the responsibility of DTC, and disbursement of payments to the beneficial owners is the responsibility of direct and indirect participants.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under the limited circumstances described below, beneficial owners of interests in a global debt security will not be entitled to have debt securities registered in their names and will not receive physical delivery of debt securities. Accordingly, each beneficial owner must rely on the procedures of DTC to exercise any rights under the debt securities and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laws of some jurisdictions may require that some purchasers of securities take physical delivery of securities in definitive form. These laws may impair the ability to transfer or pledge beneficial interests in global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is under no obligation to provide its services as depositary for the debt securities of any series and may discontinue providing its services at any time. Neither we nor any trustee, any underwriters or agents involved in the offering or sale of any debt securities will have any responsibility for the performance by DTC or its participants or indirect participants under the rules and procedures governing DTC. As noted above, beneficial owners of interests in global debt securities generally will not receive certificates representing their ownership interests in the debt securities. However, if:</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notifies us that it is unwilling or unable to continue as a depositary for the global debt securities of any series, or if at any time DTC ceases to be a clearing agency registered under the Exchange Act (if so required by applicable law or regulation) and a successor depositary for the debt securities of such series is not appointed within 90 days of the notification to us or of our becoming aware of DTC’s ceasing to be so registered, as the case may be, we determine, in our sole discretion, not to have the debt securities of any series represented by one or more global debt securities,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event of default under the Indenture has occurred and is continuing with respect to the debt securities of any series.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prepare and deliver certificates for the debt securities of that series in exchange for beneficial interests in the global debt securities of that series. Any beneficial interest in a global debt security that is exchangeable under the circumstances described in the preceding sentence will be exchangeable for debt securities in definitive certificated form registered in the names and in the authorized denominations that the depositary shall direct. It is expected that these directions will be based upon directions received by the depositary from its participants with respect to ownership of beneficial interests in the global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Clearstream, Luxembourg and Euroclear hold interests on behalf of their participating organizations through customers’ securities accounts in Clearstream, Luxembourg’s and Euroclear’s names on the books of their respective depositaries, which hold those interests in customers’ securities accounts in the depositaries’ names on the books of DTC. At the present time, Citibank, N.A. acts as U.S. depositary for Clearstream, Luxembourg and JPMorgan Chase Bank, N.A. acts as U.S. depositary for Euroclear (the “U.S. Depositaries”).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Clearstream, Luxembourg holds securities for its participating organizations (“Clearstream Participants”) and facilitates the clearance and settlement of securities transactions between Clearstream Participants through electronic book-entry changes in accounts of Clearstream Participants, thereby eliminating the need for physical movement of certificates. Clearstream, Luxembourg provides to Clearstream Participants, among other things, services for safekeeping, administration, clearance and settlement of internationally traded securities and securities lending and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Clearstream, Luxembourg is registered as a bank in Luxembourg, and as such is subject to regulation by the Commission de Surveillance du Secteur Financier and the Banque Centrale du Luxembourg, which supervise and oversee the activities of Luxembourg banks. Clearstream Participants are financial institutions including underwriters, securities brokers and dealers, banks, trust companies and clearing corporations, and may include any underwriters or agents involved in the offering or sale of any debt securities or their respective affiliates. Indirect access to Clearstream, Luxembourg is available to other institutions that clear through or maintain a custodial relationship with a Clearstream Participant. Clearstream, Luxembourg has established an electronic bridge with Euroclear as the operator of the Euroclear System (the “Euroclear Operator”) in Brussels to facilitate settlement of trades between Clearstream, Luxembourg and the Euroclear Operator.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Distributions with respect to global debt securities held beneficially through Clearstream, Luxembourg will be credited to cash accounts of Clearstream Participants in accordance with its rules and procedures, to the extent received by the U.S. Depositary for Clearstream, Luxembourg. Euroclear holds securities and book-entry interests in securities for participating organizations (“Euroclear Participants”) and facilitates the clearance and settlement of securities transactions between Euroclear Participants, and between Euroclear Participants and participants of certain other securities intermediaries through electronic book-entry changes in accounts of such participants or other securities intermediaries. Euroclear provides Euroclear Participants, among other things, with safekeeping, administration, clearance and settlement, securities lending and borrowing, and related services. Euroclear Participants are investment banks, securities brokers and dealers, banks, central banks, supranationals, custodians, investment managers, corporations, trust companies and certain other organizations, and may include any underwriters or agents involved in the offering or sale of any debt securities or their respective affiliates. Non-participants in Euroclear may hold and transfer beneficial interests in a global debt security through accounts with a participant in the Euroclear System or any other securities intermediary that holds a book-entry interest in a global debt security through one or more securities intermediaries standing between such other securities intermediary and Euroclear.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clearance accounts and cash accounts with the Euroclear Operator are governed by the Terms and Conditions Governing Use of Euroclear and the related Operating Procedures of the Euroclear System, and applicable Belgian law (collectively, the “Terms and Conditions”). The Terms and Conditions govern transfers of securities and cash within Euroclear, withdrawals of securities and cash from Euroclear and receipts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through Euroclear Participants.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Distributions on interests in global debt securities held beneficially through Euroclear will be credited to the cash accounts of Euroclear Participants in accordance with the Terms and Conditions, to the extent received by the U.S. Depositary for Euroclear.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between Euroclear Participants and Clearstream Participants will be effected in the ordinary way in accordance with their respective rules and operating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Cross-market transfers between direct participants in DTC, on the one hand, and Euroclear Participants or Clearstream Participants, on the other hand, will be effected through DTC in accordance with DTC’s rules on behalf of Euroclear or Clearstream, Luxembourg, as the case may be, by its U.S. Depositary; however, such cross-market transactions will require delivery of instructions to Euroclear or Clearstream, Luxembourg, as the case may be, by the counterparty in such system in accordance with the applicable rules and procedures and within the established deadlines (European time) of such system. Euroclear or Clearstream, Luxembourg, as the case may be, will, if the transaction meets its settlement requirements, deliver instructions to its U.S. Depositary to take action to effect final settlement on its behalf by delivering or receiving interests in global debt securities in DTC, and making or receiving payment in accordance with normal procedures for same-day fund settlement applicable to DTC. Euroclear Participants and Clearstream Participants may not deliver instructions directly to their respective U.S. Depositaries.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time zone differences, the securities accounts of a Euroclear Participant or Clearstream Participant purchasing an interest in a global debt security from a direct participant in DTC will be credited, and any such crediting will be reported to the relevant Euroclear Participant or Clearstream Participant, during the securities settlement processing day (which must be a business day for Euroclear or Clearstream, Luxembourg) immediately following the settlement date of DTC. Cash received in Euroclear or Clearstream, Luxembourg as a result of sales of interests in a global debt security by or through a Euroclear Participant or Clearstream Participant to a direct participant in DTC will be received with value on the settlement date of DTC but will be available in the relevant Euroclear or Clearstream, Luxembourg cash account only as of the business day for Euroclear or Clearstream, Luxembourg following DTC’s settlement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Euroclear and Clearstream, Luxembourg are under no obligation to perform or to continue to perform the foregoing procedures and such procedures may be discontinued at any time without notice. Neither we nor any trustee, any underwriters or agents involved in the offering or sale of any debt securities will have any responsibility for the performance by Euroclear or Clearstream, Luxembourg or their respective participants of their respective obligations under the rules and procedures governing their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section concerning DTC, Euroclear and Clearstream, Luxembourg and their book-entry systems has been obtained from sources that we believe to be reliable, but we take no responsibility for the accuracy of that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and Repurchase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securities of any series may be redeemable at our option, or may be subject to mandatory redemption by us, as required by a sinking fund or otherwise. In addition, the debt securities of any series may be subject to repurchase or repayment by us, at the option of the holders. The accompanying prospectus supplement will describe the terms, the times and the prices regarding any optional or mandatory redemption by us or any repurchase or repayment at the option of the holders of any series of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and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if any, on which debt securities of any series are convertible into or exchangeable for our common shares or any other securities or property will be set forth in the accompanying prospectus supplement. Such terms may include provisions for conversion or exchange, which may be mandatory, at the option of the holders or at our option. Unless otherwise expressly stated in the accompanying prospectus supplement, references in this prospectus and any accompanying prospectus supplement to the conversion or exchange of debt securities of any series for our common stock or other securities or property shall be deemed not to refer to or include any exchange of any debt securities of a series for other debt securities of the same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Merger, Consolidation and Transfer of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accompanying prospectus supplement, it can be expected that the Indenture will provide that we will not, directly or indirectly, in any transaction or series of related transactions, consolidate or merge with another person (whether or not we are the surviving corporation), or sell, assign, transfer, lease or convey or otherwise dispose of all or substantially all of the property and assets of us and our subsidiaries taken as a whole, to another person unless: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shall be the continuing entity or the resulting, surviving or transferee person shall (i) be a corporation, partnership, limited liability company, trust or other entity organized and validly existing under the laws of any domestic or foreign jurisdiction and (ii) shall expressly assume by supplemental indenture reasonably satisfactory in form to the Trustee all of our obligations under the debt securities and the Indenture (including, without limitation, the obligation to convert or exchange any debt securities that are convertible into or exchangeable for other securities or property in accordance with the provisions of such debt securities and the Indenture);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after giving effect to a transaction described above, no event of default under the Indenture, and no event which, after notice or lapse of time or both would become an event of default under the Indenture, shall exist;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have received the officers’ certificate and opinion of counsel called for by the Indenture.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any such merger, consolidation, sale, assignment, transfer, lease, conveyance or other disposition in which we are not the continuing entity and upon execution and delivery by the successor person of the supplemental indenture described above, such successor person shall succeed to, and be substituted for us and may exercise every right and power of us under the Indenture with the same effect as if such successor person had been named as us therein, and we shall be automatically released and discharged from all obligations and covenants under the Indenture and the debt securities issued under that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accompanying prospectus supplement, any of the following events may be events of default with respect to the debt securities of any series: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default in payment of any interest on, or any Additional Amounts payable in respect of, any of the debt securities of a series when due and payable, and continuance of such default for a period of 30 days;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default in payment of any principal of, or premium, if any, on, or any Additional Amounts, if any, payable in respect of any principal of or premium, if any, on, any of the debt securities of a series when due (whether at maturity, upon redemption, upon repayment or repurchase at the option of the holder or otherwise and whether payable in cash or common shares or other securities or property);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default in the performance or breach of any covenant (other than those events defaults referenced in the first and second bullet points above) for the benefit of the holders of the debt securities of a series for 90 days after receipt of written notice of such default given by the Trustee or holders of not less than 25% in principal amount of the debt securities of such series;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specified events of bankruptcy, insolvency or reorganization with respect to us;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event of default established for the debt securities of that series.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event of default with respect to any particular series of debt securities necessarily constitutes an event of default with respect to any other series of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accompanying prospectus supplement, the Indenture can be expected to provide that the holders of a majority in aggregate principal amount of the outstanding debt securities of any series may waive our compliance with the provisions described above under “—Merger, Consolidation and Transfer of Assets” and certain other provisions of the Indenture and, if specified in the accompanying prospectus supplement relating to such series of debt securities, any additional covenants applicable to the debt securities of such series. The Indenture may also provide that holders of not less than a majority in aggregate of principal amount of the then outstanding debt securities of any series may waive an existing default or event of default with respect to the debt securities of such series, except a default in payment of principal of, or premium, if any, or interest, if any, or Additional Amounts, if any, or sinking fund payments, if any, on debt securities of that series or, in the case of any debt securities which are convertible into or exchangeable for other securities or property, a default in any such conversion or exchange, or a default in respect of a covenant or provision which cannot be modified or amended without the consent of the holder of each outstanding debt security of the affected series. As used in this paragraph, the term “default” means any event which is, or after notice or lapse of time or both would become, an event of default with respect to the debt securities of any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accompanying prospectus supplement, the Indenture can also be expected to provide that if an event of default (other than an event of default specified in the fourth and fifth bullet points of the third preceding paragraph) occurs and is continuing with respect to any series of debt securities, either the Trustee or the holders of more than 25% in principal amount of the debt securities of that series then outstanding may declare the principal of, or if debt securities of that series are original issue discount securities, such lesser amount as may be specified in the terms of that series of debt securities, and accrued and unpaid interest, if any, on all the debt securities of that series to be due and payable immediately. The Indenture may also provide that if an event of default specified in the fourth and fifth bullet points of the third preceding paragraph occurs with respect to any series of debt securities, then the principal of, or if debt securities of that series are original issue discount securities, such lesser amount as may be specified in the terms of that series of debt securities, and accrued and unpaid interest, if any, on all the debt securities of that series will automatically become and be immediately due and payable without any declaration or other action on the part of the Trustee or any holder of the debt securities of that series. However, upon specified conditions, the holders of a majority in principal amount of the debt securities of a series then outstanding may rescind and annul an acceleration of the debt securities of that series and its consequences.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TIA requiring the Trustee, during the continuance of an event of default under the Indenture, to act with the requisite standard of care, the Trustee is under no obligation to exercise any of its rights or powers under the Indenture at the request or direction of any of the holders of debt securities of any series unless those holders have offered the Trustee indemnity reasonably satisfactory to the Trustee against the costs, fees and expenses and liabilities which might be incurred in compliance with such request or direction. Subject to the foregoing, holders of a majority in principal amount of the outstanding debt securities of any series issued under the Indenture have the right to direct the time, method and place of conducting any proceeding for any remedy available to the Trustee under the Indenture with respect to that series. The Indenture will likely require our annual filing with the Trustee of a certificate which states whether or not we are in default under the terms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accompanying prospectus supplement, no holder of any debt securities of any series shall have any right to institute any proceeding, judicial or otherwise, with respect to the Indenture, or for the appointment of a receiver or trustee, or for any other remedy under the Indenture, unless: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gives written notice to the Trustee of a continuing event of default with respect to the debt securities of such series;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more than 25% in aggregate principal amount of the outstanding debt securities of such series make a written request to the Trustee to institute proceedings in respect of such event of default;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or holders offer to the Trustee indemnity reasonably satisfactory to the Trustee against the costs, fees and expenses and liabilities to be incurred in compliance with such request;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for 90 days after its receipt of such notice, request and offer of indemnity fails to institute any such proceeding;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direction inconsistent with such written request is given to the Trustee during such 90 day period by the holders of a majority of the aggregate principal amount of the then outstanding debt securities of such series.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of the Indenture, it is anticipated that the holder of a debt security will have the right, which is absolute and unconditional, to receive payment of the principal of and premium, if any, and interest, if any, on that debt security on the respective due dates for those payments and, in the case of any debt security which is convertible into or exchangeable for other securities or property, to convert or exchange, as the case may be, that debt security in accordance with its terms, and to institute suit for the enforcement of those payments and any right to effect such conversion or exchange, and this right shall not be impaired without the consent of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Modification, Waivers and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and the Trustee, with the consent of the holders of a majority in principal amount of the outstanding debt securities of each series issued under the Indenture and affected by a modification or amendment, may modify, amend, supplement or waive compliance with any of the provisions of the Indenture or of the debt securities of the applicable series or the rights of the holders of the debt securities of that series under the Indenture. However, unless otherwise specified in the accompanying prospectus supplement, no such modification, amendment, supplement or waiver may, among other things: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the amount of debt securities of any series issued under the Indenture whose holders must consent to any amendment, supplement or waiver;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 the rate of or extend the time for payment of interest (including default interest) on any debt securities issued under the Indenture;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 the principal or change the stated maturity of the principal of, or postpone the date fixed for, the payment of any sinking fund or analogous obligations with respect to any debt securities issued under the Indenture;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 the amount of principal of any original issue discount securities that would be due and payable upon an acceleration of the maturity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waive any default or event of default in the payment of the principal of or interest, if any, on any debt securities (except a rescission of acceleration of the debt securities by the holders of at least a majority in principal amount of the outstanding series of such debt securities and a waiver of the payment default that resulted from such acceleration);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any place where or the currency in which debt securities are payable;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any changes to the provisions of the Indenture relating to waivers of past defaults, rights of holders of debt securities to receive payment or limitations on amendments to the Indenture without the consent of all holders;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waive any redemption payment with respect to a debt security of such series;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in each case obtaining the consent of the holder of each outstanding debt security issued under the Indenture affected by the modification or amendment.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and the Trustee, without the consent of the holders of any debt securities issued under the Indenture, may modify, amend, supplement or waive compliance with any provisions of the Indenture, among other things: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cure any ambiguity, defect or inconsistency;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provide for uncertificated debt securities in addition to or in place of certificated debt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evidence the succession of another person to us under the Indenture and the assumption by that successor of our covenants, contained in the Indenture and in the debt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add any additional events of default with respect to all or any series of debt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secure the debt securities of any series pursuant to the requirements of any covenant on liens in respect of such series or otherwise;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change or eliminate any provision of the Indenture, or to add any new provisions to the Indenture, provided that any such change, elimination or addition (A) shall (i) not apply to any debt securities outstanding on the date of such supplemental indenture or (ii) modify the rights of the holder of any debt security with respect to such provision in effect prior to the date of such supplemental indenture or (B) shall become effective only when no debt security of such series remains outstanding;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make any change that would provide additional rights or benefits to holders of the debt securities of such series or that does not adversely affect the holders’ rights under the Indenture in any material respect;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comply with requirements of the SEC in order to effect or maintain the qualification of the Indenture under the TIA;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provide for the issuance of and establish the form and terms and conditions of debt securities of any series as permitted by the Indenture;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evidence and provide for the acceptance of the appointment of a successor trustee in respect of the debt securities of one or more series or to add to or change any of the provisions of the Indenture as are necessary to provide for or facilitate the administration of the Indenture by more than one trustee;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add additional guarantors or obligors under the Indenture;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conform any provision of the Indenture or any debt securities or security documents to the description thereof reflected in any prospectus (including this prospectus), accompanying prospectus supplement, offering memorandum or similar offering document used in connection with the initial offering or sale of such debt securities to the extent that such description was intended to be a verbatim recitation of a provision of the Indenture, the debt securities or security documents.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Discharge, Defeasance and Covenant Defeasance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provided in the applicable prospectus supplement, upon our direction, the Indenture shall cease to be of further effect with respect to any series of debt securities issued under the Indenture specified by us, subject to the survival of specified provisions of the Indenture (including the obligation to pay Additional Amounts, if any, and the obligation, if applicable, to exchange or convert debt securities of that series into other securities or property in accordance with their terms) when</w:t>
      </w:r>
    </w:p>
    <w:p>
      <w:pPr>
        <w:pStyle w:val="TextBody"/>
        <w:bidi w:val="0"/>
        <w:spacing w:before="0" w:after="0"/>
        <w:ind w:left="0" w:right="0" w:hanging="0"/>
        <w:jc w:val="left"/>
        <w:rPr>
          <w:caps w:val="false"/>
          <w:smallCaps w:val="false"/>
        </w:rPr>
      </w:pPr>
      <w:r>
        <w:rPr>
          <w:caps w:val="false"/>
          <w:smallCaps w:val="false"/>
        </w:rPr>
        <w:t> </w:t>
      </w:r>
    </w:p>
    <w:tbl>
      <w:tblPr>
        <w:tblW w:w="805" w:type="dxa"/>
        <w:jc w:val="left"/>
        <w:tblInd w:w="0" w:type="dxa"/>
        <w:tblLayout w:type="fixed"/>
        <w:tblCellMar>
          <w:top w:w="0" w:type="dxa"/>
          <w:left w:w="0" w:type="dxa"/>
          <w:bottom w:w="0" w:type="dxa"/>
          <w:right w:w="0" w:type="dxa"/>
        </w:tblCellMar>
      </w:tblPr>
      <w:tblGrid>
        <w:gridCol w:w="75"/>
        <w:gridCol w:w="170"/>
        <w:gridCol w:w="5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debt securities of such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debt securities of such series that have not been delivered to the Trustee for cancellation have become due and payable by reason of the mailing of a notice of redemption or otherwise or will become due and payable within one year or have been called for redemption and we have irrevocably deposited or caused to be deposited with the Trustee as trust funds in trust solely for the benefit of the holders of such debt securities, cash in U.S. dollars, non-callable U.S. government securities or a combination thereof, in such amounts as will be sufficient, without consideration of any reinvestment of interest, to pay and discharge the entire indebtedness on such debt securities not delivered to the Trustee for cancellation for principal, premium, if any, and accrued interest to the date of maturity or redemption;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default or event of default has occurred and is continuing on the date of such deposit (other than a default or event of default resulting from the borrowing of funds to be applied to such deposit or the grant of any lien securing such borrowing or any similar and simultaneous deposit relating to other indebtedness and, in each case, the granting of liens in connection therewith) and the deposit will not result in a breach or violation of, or constitute a default under, any material instrument to which we are a party or by which we are bound (other than a breach, violation or default resulting from the borrowing of funds to be applied to such deposit or the grant of any lien securing such borrowing or any similar and simultaneous deposit relating to other indebtedness and, in each case, the granting of liens in connection therewith);</w:t>
            </w:r>
          </w:p>
        </w:tc>
      </w:tr>
    </w:tbl>
    <w:p>
      <w:pPr>
        <w:pStyle w:val="TextBody"/>
        <w:bidi w:val="0"/>
        <w:spacing w:before="0" w:after="0"/>
        <w:ind w:left="0" w:right="0" w:hanging="0"/>
        <w:jc w:val="left"/>
        <w:rPr>
          <w:caps w:val="false"/>
          <w:smallCaps w:val="false"/>
        </w:rPr>
      </w:pPr>
      <w:r>
        <w:rPr>
          <w:caps w:val="false"/>
          <w:smallCaps w:val="false"/>
        </w:rPr>
        <w:t> </w:t>
      </w:r>
    </w:p>
    <w:tbl>
      <w:tblPr>
        <w:tblW w:w="6925" w:type="dxa"/>
        <w:jc w:val="left"/>
        <w:tblInd w:w="0" w:type="dxa"/>
        <w:tblLayout w:type="fixed"/>
        <w:tblCellMar>
          <w:top w:w="0" w:type="dxa"/>
          <w:left w:w="0" w:type="dxa"/>
          <w:bottom w:w="0" w:type="dxa"/>
          <w:right w:w="0" w:type="dxa"/>
        </w:tblCellMar>
      </w:tblPr>
      <w:tblGrid>
        <w:gridCol w:w="75"/>
        <w:gridCol w:w="170"/>
        <w:gridCol w:w="66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6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paid or caused to be paid all sums payable by us under the Indenture;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delivered irrevocable instructions to the Trustee for such debt securities to apply the deposited money toward the payment of such debt securities at maturity or on the redemption date, as the case may be.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provided in the accompanying prospectus supplement, we may elect with respect to any series of debt securities and at any time, to have our obligations discharged with respect to the outstanding debt securities of such series (“Legal Defeasance”). Legal Defeasance means that we shall be deemed to have paid and discharged the entire indebtedness represented by the debt securities of such series, and the Indenture shall cease to be of further effect as to all outstanding debt securities of such series, except as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of holders of outstanding debt securities of such series to receive payments in respect of the principal of and interest, if any, on the debt securities of such series when such payments are due solely out of the trust funds referred to below;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obligations with respect to the debt securities of such series concerning issuing temporary debt securities of such series, registration of debt securities of such series, mutilated, destroyed, lost or stolen debt securities of such series, and the maintenance of an office or agency for payment and money for security payments held in trust;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powers, trusts, duties and immunities of the Trustee for such debt securities of such series under the Indenture, and the obligations of us in connection therewith;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Legal Defeasance provisions of the Indenture.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accompanying prospectus supplement, in addition, we may, at our option and at any time, elect to have our obligations released with respect to substantially all of the covenants under the Indenture, except as described otherwise in the Indenture (“Covenant Defeasance”), and thereafter any omission to comply with such obligations shall not constitute a default or event of default with respect to the debt securities of such series. In the event Covenant Defeasance occurs, certain events of default will no longer constitute an event of default with respect to the debt securities of such series. Covenant Defeasance will not be effective until such bankruptcy events no longer apply. We may exercise our Legal Defeasance option regardless of whether we have previously exercised Covenant Defeasance.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exercise either Legal Defeasance or Covenant Defeasance: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irrevocably deposit with the Trustee, as trust funds, in trust solely for the benefit of the holders, cash in U.S. dollars, non-callable U.S. government securities or a combination thereof, in such amounts as will be sufficient in the opinion of a nationally recognized investment bank, appraisal firm or firm of independent public accountants, to pay the principal of and interest on the debt securities of such series on the stated date for payment or on the redemption date of the principal or installment of principal of or interest on the debt securities of such series;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Legal Defeasance, we shall have delivered to the Trustee an opinion of counsel in the United States confirming that:</w:t>
            </w:r>
          </w:p>
        </w:tc>
      </w:tr>
    </w:tbl>
    <w:p>
      <w:pPr>
        <w:pStyle w:val="TextBody"/>
        <w:bidi w:val="0"/>
        <w:spacing w:before="0" w:after="0"/>
        <w:ind w:left="0" w:right="0" w:hanging="0"/>
        <w:jc w:val="left"/>
        <w:rPr>
          <w:caps w:val="false"/>
          <w:smallCaps w:val="false"/>
        </w:rPr>
      </w:pPr>
      <w:r>
        <w:rPr>
          <w:caps w:val="false"/>
          <w:smallCaps w:val="false"/>
        </w:rPr>
        <w:t> </w:t>
      </w:r>
    </w:p>
    <w:tbl>
      <w:tblPr>
        <w:tblW w:w="8035" w:type="dxa"/>
        <w:jc w:val="left"/>
        <w:tblInd w:w="0" w:type="dxa"/>
        <w:tblLayout w:type="fixed"/>
        <w:tblCellMar>
          <w:top w:w="0" w:type="dxa"/>
          <w:left w:w="0" w:type="dxa"/>
          <w:bottom w:w="0" w:type="dxa"/>
          <w:right w:w="0" w:type="dxa"/>
        </w:tblCellMar>
      </w:tblPr>
      <w:tblGrid>
        <w:gridCol w:w="75"/>
        <w:gridCol w:w="170"/>
        <w:gridCol w:w="77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received from, or there has been published by, the Internal Revenue Service a ruling;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date of the issuance of the debt securities of such series, there has been a change in the applicable U.S. federal income tax law;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either case to the effect that, and based thereon this opinion of counsel shall confirm that, subject to customary assumptions and exclusions, the holders and beneficial owners of debt securities of such series will not recognize income, gain or loss for U.S. federal income tax purposes as a result of such Legal Defeasance and will be subject to U.S. federal income tax on the same amounts, in the same manner and at the same times as would have been the case if such Legal Defeasance had not occurred;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Covenant Defeasance, we shall have delivered to the Trustee an opinion of counsel in the United States reasonably acceptable to the Trustee confirming that, subject to customary assumptions and exclusions, the holders and beneficial owners of the debt securities of such series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default or event of default shall have occurred and be continuing on the date of such deposit (other than a default or event of default resulting from the borrowing of funds to be applied to such deposit or the grant of any lien securing such borrowing or any similar and simultaneous deposit relating to other indebtedness and, in each case, the granting of liens in connection therewith);</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Legal Defeasance or Covenant Defeasance shall not result in a breach or violation of, or constitute a default under any material agreement or instrument (other than the Indenture) to which we or any of our subsidiaries is a party or by which we or any of our subsidiaries is bound (other than that resulting from the borrowing of funds to be applied to such deposit or the grant of any lien securing such borrowing or any similar and simultaneous deposit relating to other indebtedness and, in each case, the granting of liens in connection therewith);</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shall have delivered to the Trustee an officers’ certificate stating that the deposit was not made by it with the intent of preferring the holders of debt securities of such series over any other of our creditors or with the intent of defeating, hindering, delaying or defrauding any of our creditors or others;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shall have delivered to the Trustee an officers’ certificate and an opinion of counsel (which opinion of counsel may be subject to customary assumptions and exclusions), each stating that the conditions provided for in, in the case of the officers’ certificate, clauses (a) through (f) and, in the case of the opinion of counsel, clauses (b) and/or (c) and (e) of this paragraph have been complied 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funds deposited with the Trustee to effect Covenant Defeasance are insufficient to pay the principal of and interest on the debt securities of such series when due, then our obligations and the obligations of our subsidiaries, if applicable, under the Indenture will be revived and no such defeasance will be deemed to have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accompanying prospectus supplement, the Indenture and the debt securities will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Regarding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identify the trustee with respect to any series of debt securities in the prospectus supplement relating to the applicable debt securities. The TIA limits the rights of a trustee, if the trustee becomes a creditor of ours to obtain payment of claims or to realize on property received by it in respect of those claims, as security or otherwise. Any trustee is permitted to engage in other transactions with us and our subsidiaries from time to time. However, if a trustee acquires any conflicting interest it must eliminate the conflict upon the occurrence of an event of default under the Indenture or resign as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principal amount of the then outstanding debt securities of any series may direct the time, method and place of conducting any proceeding for exercising any remedy available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occurs and is continuing, the Trustee will be required to use the degree of care and skill of a prudent man in the conduct of his own affairs. The Trustee will become obligated to exercise any of its powers under the Indenture at the request of any of the holders of debt securities only after those holders have offered the Trustee indemnity satisfactory to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_011"/>
      <w:bookmarkEnd w:id="13"/>
      <w:r>
        <w:rPr>
          <w:rFonts w:ascii="Times New Roman;Times;Serif" w:hAnsi="Times New Roman;Times;Serif"/>
          <w:b/>
          <w:i w:val="false"/>
          <w:caps w:val="false"/>
          <w:smallCaps w:val="false"/>
          <w:sz w:val="20"/>
        </w:rPr>
        <w:t>DESCRIPTION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the general terms of stock and debt warrants that we may offer. The particular terms of any stock and debt warrants will be described in an accompanying prospectus supplement. The description below and in any accompanying prospectus supplement is not complete. You should read the form of warrant agreement and any warrant certificate that we will file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 to Purchase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offer stock warrants, the prospectus supplement will describe the terms of the stock warrants,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price, if 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designation and terms of any preferred stock purchasable upon exercise of preferred stock warrants;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or preferred stock purchasable upon exercise of one stock warrant and the initial price at which the shares may be purchased upon exercise;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dates on which the right to exercise the stock warrants begins and expires;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federal income tax consequences;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Call provisions, if 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currencies in which the offering price and exercise price are payable;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antidilution provisions of the stock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or preferred stock we issue upon exercise of the stock warrants will, when issued in accordance with the stock warrant agreement,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 Warrants to Purchase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exercise stock warrants by surrendering to the stock warrant agent the stock warrant certificate, which indicates your election to exercise all or a portion of the stock warrants evidenced by the certificate. Surrendered stock warrant certificates must be accompanied by payment of the exercise price in the form of cash or check. The stock warrant agent will deliver certificates evidencing duly exercised stock warrants to the transfer agent. Upon receipt of the certificates, the transfer agent will deliver a certificate representing the number of shares of common stock or preferred stock purchased. If you exercise fewer than all the stock warrants evidenced by any certificate, the stock warrant agent will deliver a new stock warrant certificate representing the unexercised stock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Rights as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stock warrants are not entitled to vote, to consent, to receive dividends or to receive notice as stockholders with respect to any meeting of stockholders or to exercise any rights whatsoever as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 to Purchase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offer debt warrants, the accompanying prospectus supplement will describe the terms of the warrants,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price, if 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aggregate principal amount and terms of the debt securities purchasable upon exercise of the warrants and the terms of the indenture under which the debt securities will be issued;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designation and terms of the debt securities with which the debt warrants are issued and the number of debt warrants issued with each debt security;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date on and after which the debt warrants and the related securities will be separately transferable;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amount of debt securities purchasable upon exercise of one debt warrant, and the price at which the principal amount of debt securities may be purchased upon exercise;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dates on which the right to exercise the debt warrants begins and expires;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federal income tax consequences;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warrants represented by the debt warrant certificates will be issued in registered or bearer form;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currencies in which the offering price and exercise price are payable;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any antidilution provisions.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exchange debt warrant certificates for new debt warrant certificates of different denominations and may present debt warrant certificates for registration of transfer at the corporate trust office of the debt warrant agent, which will be listed in an accompanying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 Warrants to Purchase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exercise debt warrants by surrendering the debt warrant certificate at the corporate trust office of the debt warrant agent, with payment in full of the exercise price. Upon the exercise of debt warrants, the debt warrant agent will, as soon as practicable, deliver the debt securities in authorized denominations in accordance with your instructions and at your sole cost and risk. If less than all the debt warrants evidenced by the debt warrant certificate are exercised, the agent will issue a new debt warrant certificate for the remaining amount of debt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Rights as Holders of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holders do not have any of the rights of holders of debt securities, except to the extent that the consent of warrant holders may be required for certain modifications of the terms of an indenture or form of the debt security, as the case may be, and the series of debt securities issuable upon exercise of the debt warrants. In addition, warrant holders are not entitled to payments of principal of and interest, if any, on the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a_012"/>
      <w:bookmarkEnd w:id="14"/>
      <w:r>
        <w:rPr>
          <w:rFonts w:ascii="Times New Roman;Times;Serif" w:hAnsi="Times New Roman;Times;Serif"/>
          <w:b/>
          <w:i w:val="false"/>
          <w:caps w:val="false"/>
          <w:smallCaps w:val="false"/>
          <w:sz w:val="20"/>
        </w:rPr>
        <w:t>DESCRIPTION OF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or distribute rights to our stockholders for the purchase of shares of our common stock, preferred stock or debt securities. We may issue rights independently or together with other securities, and the rights may be attached to or separate from any offered or distributed securities and may or may not be transferrable by the stockholder receiving the rights. In connection with any offering of rights, we may enter into a standby underwriting, backstop or other arrangement with one or more underwriters or other persons pursuant to which the underwriters or other persons may agree to purchase any securities remaining unsubscribed for after such rights offering. Each series of rights will be issued under a separate rights agreement to be entered into between us and a bank or trust company, as rights agent, all as set forth in an accompanying prospectus supplement relating to the particular issue of rights. The rights agent will act solely as an agent of the Company in connection with the certificates relating to the rights of such series and will not assume any obligation or relationship of agency or trust for or with any holders of rights certificates or beneficial owners of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material provisions of the rights are subject to, and qualified in their entirety by reference to, all the provisions of the certificates representing rights applicable to a particular series of rights. The terms of any rights offered or distributed under an accompanying prospectus supplement may differ from the terms described below. We urge you to read the accompanying prospectus supplement as well as the complete certificates representing the rights that contain the terms of the rights. The particular terms of any issue of rights will be described in an accompanying prospectus supplement relating to the issue, and may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0"/>
        <w:gridCol w:w="99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w:t>
            </w:r>
          </w:p>
        </w:tc>
        <w:tc>
          <w:tcPr>
            <w:tcW w:w="9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distribution of rights to our stockholders, the date for determining the stockholders entitled to the rights distribution;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99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w:t>
            </w:r>
          </w:p>
        </w:tc>
        <w:tc>
          <w:tcPr>
            <w:tcW w:w="9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distribution of rights to our stockholders, the number of rights issued or to be issued to each stockholder;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99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w:t>
            </w:r>
          </w:p>
        </w:tc>
        <w:tc>
          <w:tcPr>
            <w:tcW w:w="9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number of shares of common stock, preferred stock or debt securities purchasable upon exercise of such rights and the exercise price;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99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w:t>
            </w:r>
          </w:p>
        </w:tc>
        <w:tc>
          <w:tcPr>
            <w:tcW w:w="9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number of rights being issued;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99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ind w:left="0" w:right="0" w:firstLine="20"/>
              <w:jc w:val="left"/>
              <w:rPr>
                <w:caps w:val="false"/>
                <w:smallCaps w:val="false"/>
              </w:rPr>
            </w:pPr>
            <w:r>
              <w:rPr>
                <w:caps w:val="false"/>
                <w:smallCaps w:val="false"/>
              </w:rPr>
              <w:t>●</w:t>
            </w:r>
          </w:p>
        </w:tc>
        <w:tc>
          <w:tcPr>
            <w:tcW w:w="9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the rights are transferrable;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99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w:t>
            </w:r>
          </w:p>
        </w:tc>
        <w:tc>
          <w:tcPr>
            <w:tcW w:w="9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the holder’s ability to exercise such rights shall commence and the date on which such right shall expire;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99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w:t>
            </w:r>
          </w:p>
        </w:tc>
        <w:tc>
          <w:tcPr>
            <w:tcW w:w="9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the rights may include an over-subscription privilege with respect to unsubscribed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99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w:t>
            </w:r>
          </w:p>
        </w:tc>
        <w:tc>
          <w:tcPr>
            <w:tcW w:w="9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discussion of material federal income tax considerations;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99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w:t>
            </w:r>
          </w:p>
        </w:tc>
        <w:tc>
          <w:tcPr>
            <w:tcW w:w="9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material terms of such rights, including terms, procedures and limitations relating to the distribution, exchange and exercise of such rights;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99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w:t>
            </w:r>
          </w:p>
        </w:tc>
        <w:tc>
          <w:tcPr>
            <w:tcW w:w="9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material terms of any standby underwriting, backstop or purchase arrangement which may be entered into by the Company in connection with the offering, issuance or distribution of rights.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right will entitle the holder of rights to purchase for cash the number of shares of common stock or preferred stock or the principal amount of debt securities at the exercise price provided in the accompanying prospectus supplement. Rights may be exercised at any time up to the close of business on the expiration date for the rights provided in the accompanying prospectus supplement. After the close of business on the expiration date, all unexercised rights will be void and of no further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may exercise rights as described in the accompanying prospectus supplement. Upon receipt of payment and the rights certificate properly completed and duly executed at the corporate trust office of the rights agent or any other office indicated in an accompanying prospectus supplement, we will, as soon as practicable, forward the shares of common stock or preferred stock or principal amount of debt securities purchased upon exercise of the rights. If less than all of the rights issued in any rights offering are exercised, we may offer any unsubscribed shares of common stock or preferred stock or principal amount of debt securities directly to persons, which may be to or through agents, underwriters or dealers or through a combination of such methods, including pursuant to standby underwriting arrangements, as described in the accompanying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any rights to purchase common stock or preferred stock are exercised, the holders of the any rights will not have any rights of holders of the underlying common stock or preferred stock, including any rights to receive dividends or payments upon any liquidation, dissolution or winding up on the common stock or preferred stock, if any. Until any rights to purchase debt securities are exercised, the holder of any rights will not have any rights of holders of the debt securities that can be purchased upon exercise, including any rights to receive payments of principal, premium or interest on the underlying debt securities or to enforce covenants in the applicable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a_013"/>
      <w:bookmarkEnd w:id="15"/>
      <w:r>
        <w:rPr>
          <w:rFonts w:ascii="Times New Roman;Times;Serif" w:hAnsi="Times New Roman;Times;Serif"/>
          <w:b/>
          <w:i w:val="false"/>
          <w:caps w:val="false"/>
          <w:smallCaps w:val="false"/>
          <w:sz w:val="20"/>
        </w:rPr>
        <w:t>DESCRIPTION OF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may be specified in an accompanying prospectus supplement, we may issue units consisting of one or more of our securities registered hereby. An accompanying prospectus supplement will describe: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units and of the securities comprising the units, including whether and under what circumstances the securities comprising the units may be traded separately;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description of the terms of any unit agreement governing the units;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description of the provisions for the payment, settlement, transfer or exchange of the units.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a_014"/>
      <w:bookmarkEnd w:id="16"/>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offered by this prospectus from time to time in one or more transactions, including without limitation:</w:t>
      </w:r>
    </w:p>
    <w:p>
      <w:pPr>
        <w:pStyle w:val="TextBody"/>
        <w:bidi w:val="0"/>
        <w:spacing w:before="0" w:after="0"/>
        <w:ind w:left="0" w:right="0" w:hanging="0"/>
        <w:jc w:val="left"/>
        <w:rPr>
          <w:caps w:val="false"/>
          <w:smallCaps w:val="false"/>
        </w:rPr>
      </w:pPr>
      <w:r>
        <w:rPr>
          <w:caps w:val="false"/>
          <w:smallCaps w:val="false"/>
        </w:rPr>
        <w:t> </w:t>
      </w:r>
    </w:p>
    <w:tbl>
      <w:tblPr>
        <w:tblW w:w="8890" w:type="dxa"/>
        <w:jc w:val="left"/>
        <w:tblInd w:w="0" w:type="dxa"/>
        <w:tblLayout w:type="fixed"/>
        <w:tblCellMar>
          <w:top w:w="0" w:type="dxa"/>
          <w:left w:w="0" w:type="dxa"/>
          <w:bottom w:w="0" w:type="dxa"/>
          <w:right w:w="0" w:type="dxa"/>
        </w:tblCellMar>
      </w:tblPr>
      <w:tblGrid>
        <w:gridCol w:w="75"/>
        <w:gridCol w:w="170"/>
        <w:gridCol w:w="86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underwritten public offerings, negotiated transactions or block trades;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6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or through underwriters, brokers or dealers;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6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or through agents;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6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directly to one or more purchasers, including through a specific bidding, auction or other process; and/or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6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a combination of any of these methods, or any other method permitted pursuant to applicable law.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engage in “at-the-market offerings” in accordance with Rule 415(a)(4) under the Securities Act, including sales made to or through a market maker other than on an exchange, in block transactions or by any other method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may be distributed from time to time in one or more transactions at a fixed price or prices, which may be changed, at market prices prevailing at the time of sale, at prices related to those prevailing market prices, or at negotiated prices.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prospectus supplement with respect to each offering of securities will set forth the terms of the offering and the method of distribution of the securities and will identify any firms acting as underwriters, dealers or agents in connection with the offering,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method of distribution, including the name or names of any underwriters, dealers or agents and the amounts of securities underwritten or purchased by each of them, if 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of the securities being offered and the proceeds to us from the sale;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over-allotment options under which the underwriters may purchase additional securities from 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underwriting discounts or commissions or agency fees and other items constituting compensation to underwriters, dealers or agents;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discounts or concessions allowed or reallowed or paid to dealers, any delayed delivery arrangements, and any public offering price;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securities exchange or market on which the securities offered in the prospectus supplement may be listed.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those underwriters identified in such prospectus supplement are deemed to be underwriters in connection with the securities offered in the prospectus supplement. Any underwritten offering may be on a best efforts or a firm commitment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 or any free writing prospectus authorized by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compensation paid to underwriters, dealers or agents in connection with the offering of the securities, and any discounts, concessions or commissions allowed by underwriters to participating dealers will be provided in the applicable prospectus supplement.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we sell pursuant to a prospectus supplement may or may not be listed on a national securities exchange. It is possible that one or more underwriters may make a market in the securities, but such underwriters will not be obligated to do so and may discontinue any market making at any time without notice. No assurance can be given as to the liquidity of, or the trading market for, any offered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dealers and agents that participate in the offering of securities, or their affiliates or associates, may have engaged or engage in transactions with us, or perform services for us, in the ordinary course of business for which they may have received or receive customary fees and reimbursement of expenses.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dealers, agents and remarketing firms that participate in the distribution of the offered securities may be “underwriters” as defined in the Securities Act of 1933. Any discounts or commissions they receive from us and any profits they receive on the resale of the offered securities may be treated as underwriting discounts and commissions under the Securities Act. Underwriters, dealers, agents and other persons may be entitled, under agreements that they may enter into with us, to indemnification by us against certain liabilities, including liabilities under the Securities Act, in connection with their participation in our offerings.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Rule 15c6-1 of the Exchange Act, trades in the secondary market generally are required to settle in two business days, unless the parties to any such trade expressly agree otherwise. The accompanying prospectus supplement may provide that the original issue date for your securities may be more than two scheduled business days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Underwriters and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underwriters are used in a sale, they will acquire the offered securities for their own account. The underwriters may resell the offered securities in one or more transactions, including negotiated transactions. These sales will be made at a fixed public offering price or at varying prices determined at the time of the sale. We may offer the securities to the public through an underwriting syndicate or through a single underwriter. The underwriters in any particular offering will be named in the applicable prospectus supplement or other offering materials,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applicable prospectus supplement states otherwise, the obligations of the underwriters to purchase the offered securities will be subject to certain conditions contained in an underwriting agreement that we will enter into with the underwriters at the time of the sale to them. The underwriters will be obligated to purchase all of the securities of the series offered if any of the securities are purchased, unless the applicable prospectus supplement says otherwise. Any initial public offering price and any discounts or concessions allowed, reallowed or paid to dealers may be changed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designate agents to sell the offered securities. Unless the applicable prospectus supplement states otherwise, the agents will agree to use their best efforts to solicit purchases for the period of their appointment.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or more firms, referred to as “remarketing firms,” may also offer or sell the securities, if the prospectus supplement so indicates, in connection with a remarketing arrangement upon their purchase. Remarketing firms will act as principals for their own accounts or as agents for us. These remarketing firms will offer or sell the securities in accordance with a redemption or repayment pursuant to the terms of the securities. The prospectus supplement will identify any remarketing firm and the terms of its agreement, if any, with us and will describe the remarketing firm’s compensation. Remarketing firms may be deemed to be underwriters in connection with the securities they remarket. Remarketing firms may be entitled under agreements that may be entered into with us to indemnification by us against certain civil liabilities, including liabilities under the Securities Act, and may be customers of, engage in transactions with or perform services for us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underwriters, dealers and agents, and their associates and affiliates may engage in transactions with, or perform services, including investment banking services, for us or one or more of our respective affiliates in the ordinary course of business for which they receive compensation. We will describe in an accompanying prospectus supplement the identity of any such underwriters, dealers and agents and the nature of any such relationships. If at the time of any offering made under this prospectus a member of FINRA participating in the offering has a “conflict of interest” as defined in FINRA Rule 5121, that offering will be conducted in accordance with the relevant provisions of FINRA Rule 5121.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and agents may from time-to-time purchase and sell securities in the secondary market, but are not obligated to do so, and there can be no assurance that there will be a secondary market for the securities or liquidity in the secondary market if one develops. From time to time, underwriters and agents may make a market in the securities but are not obligated to do so and may cease to do so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enter into derivative or other hedging transactions with financial institutions. These financial institutions may in turn engage in sales of securities to hedge their position, deliver this prospectus in connection with some or all of those sales and use the securities covered by this prospectus to close out any short position created in connection with those sales. We may also sell interest in some or all of the securities covered by this prospectus to support a derivative or hedging position or other obligations and, if we default in the performance of our obligations, the pledgees or secured parties may offer and sell the securities from time to time securities short using this prospectus and deliver securities covered by this prospectus to close out such short positions, or loan or pledge securities to financial institutions that in turn may sell the securities using this prospectus. We may pledge or grant a security pursuant to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Dealers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offered securities to dealers as principals. The dealer may then resell such securities to the public either at varying prices to be determined by the dealer or at a fixed offering price agreed to with us at the time of resale.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choose to sell the offered securities directly. In this case, no underwriters or agents would be involved.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Institutional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authorize agents, dealers or underwriters to solicit certain institutional investors to purchase offered securities on a delayed delivery basis pursuant to delayed delivery contracts providing for payment and delivery on a specified future date. The applicable prospectus supplement or other offering materials, as the case may be, will provide the details of any such arrangement, including the offering price and commissions payable on the solicitations.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enter into such delayed contracts only with institutional purchasers that we approve. These institutions may include commercial and savings banks, insurance companies, pension funds, investment companies and educational and charitable institutions.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 Other Relationships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have agreements with agents, underwriters, dealers and remarketing firms to indemnify them against certain civil liabilities, including liabilities under the Securities Act. Agents, underwriters, dealers and remarketing firms, and their affiliates, may engage in transactions with, or perform services for, us in the ordinary course of business. This includes commercial banking and investment banking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Market-Making, Stabilization and Other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currently a market for our common stock which is traded on the Nasdaq Global Select Market. If the offered securities are traded after their initial issuance, they may trade at a discount from their initial offering price, depending upon prevailing interest rates, the market for similar securities and other factors. While it is possible that an underwriter could inform us that it intends to make a market in the offered securities, any such underwriter would not be obligated to do so, and any such market-making could be discontinued at any time without notice. Therefore, no assurance can be given as to whether an active trading market will be maintained for the offered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underwriter may engage in overallotment, stabilizing transactions, short covering transactions and penalty bids.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These transactions may be effected on any exchange or over-the-counter market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underwriters who are qualified market makers may engage in passive market making transactions in the securities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a_015"/>
      <w:bookmarkEnd w:id="17"/>
      <w:r>
        <w:rPr>
          <w:rFonts w:ascii="Times New Roman;Times;Serif" w:hAnsi="Times New Roman;Times;Serif"/>
          <w:b/>
          <w:i w:val="false"/>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applicable prospectus supplement, the validity of the securities offered by this prospectus will be passed upon for us by Feder Kaszovitz LLP, New York, New York. If legal matters in connection with offerings made by this prospectus are passed on by counsel for the underwriters, dealers or agents, if any, that counsel will be named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a_016"/>
      <w:bookmarkEnd w:id="18"/>
      <w:r>
        <w:rPr>
          <w:rFonts w:ascii="Times New Roman;Times;Serif" w:hAnsi="Times New Roman;Times;Serif"/>
          <w:b/>
          <w:i w:val="false"/>
          <w:caps w:val="false"/>
          <w:smallCaps w:val="false"/>
          <w:sz w:val="20"/>
        </w:rPr>
        <w:t>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consolidated financial statements of JAKKS Pacific, Inc. (the “Company”) as of December 31, 2025 and 2024 and for each of the three years in the period ended December 31, 2025 and management’s assessment of the effectiveness of internal control over financial reporting as of December 31, 2025 incorporated by reference in this Prospectus and in the Registration Statement have been so incorporated in reliance on the reports of BDO USA, P.C., an independent registered public accounting firm, given on the authority of said firm as experts in auditing and accounting.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28</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prospectus is not complete and may be changed. These securities may not be sold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color w:val="FF0000"/>
          <w:sz w:val="20"/>
        </w:rPr>
        <w:t xml:space="preserve">SUBJECT TO COMPLETION, DATED APRIL 29,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$75,000,000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JAKKS PACIFIC,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20, 2022, we entered into the At Market Issuance Sales Agreement (the “Original Sales Agreement”), relating to the offer and sale of shares of our Common Stock having an aggregate offering price of up to $75,000,000 from time to time through the Agent, of which $75,000,000 of such shares remain unsold (the “Unsold Securities”), and the Unsold Securities are being offered by this prospectus supplement and the accompanying prospectus. We and the Agent have entered into an amendment to the Original Sales Agreement relating to the Unsold Securities, dated the date hereof (the “Sales Agreement”), to update all references to the registration statement to refer to the registration statement to which this prospectus supplement and accompanying prospectus form a part. All other material terms of the Original Sales Agreement remain unchanged. </w:t>
      </w:r>
    </w:p>
    <w:p>
      <w:pPr>
        <w:pStyle w:val="TextBody"/>
        <w:bidi w:val="0"/>
        <w:spacing w:before="0" w:after="0"/>
        <w:ind w:left="0" w:right="0" w:firstLine="72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common stock is listed on the Nasdaq Global Select Market under the symbol “JAKK.” On April 20, 2026, the closing price of our common stock as reported by the Nasdaq Global Select Market was $22.72 per share.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common stock, if any, under this prospectus may be made in sales deemed to be “at the market equity offerings” as defined in Rule 415 promulgated under the Securities Act of 1933, as amended, or the “Securities Act.” The Agent will act as a sales agent on a best efforts basis using commercially reasonable efforts consistent with its normal trading and sales practices, on mutually agreed terms between the Agent and us. There is no arrangement for funds to be received in any escrow, trust or similar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to the Agent for sales of common stock sold pursuant to the Sales Agreement is 3.0% of the gross proceeds from the sales. In connection with the sale of the common stock on our behalf, the Agent will be deemed to be an “underwriter” within the meaning of the Securities Act and the compensation of the Agent will be deemed to be underwriting commissions or discounts. We have also agreed to provide indemnification and contribution to the Agent with respect to certain liabilities, including liabilities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 investment in our common stock involves a high degree of risk. See “Risk Factors” beginning on page S-5 of this prospectus for more information on these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ADEQUACY OR ACCURACY OF THIS PROSPECTUS.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Riley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Prospectus dated _________, 2026</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Amendment No. 1 to the Registration Statement on Form S-3 of JAKKS Pacific, Inc. (File No. 333-291138) (the “Registration Statement”) is being submitted to refile Exhibit 107. JAKKS Pacific, Inc. (the “Company”) initially filed the Registration Statement to register the offer and sale of up to $150 million of securities, of which up to $75 million may be sold pursuant to this prospectus, and intended to carry over the unsold securities under the Company’s prior registration statement on Form S-3 (File No. 333-267958) (the “Prior Registration Statement”) pursuant to Rule 415(a)(5)(ii) of the Securities Act of 1933, as amended (the “Securities Act”). The Registration Statement was transmitted to the Securities Exchange Commission (the “SEC”) via EDGAR on October 28, 2025, but accepted by the SEC with a filing date of October 29, 2025, and therefore was not filed within the time frame required under Rule 415 of the Securities Act. Accordingly, this Amendment No. 1 is being filed to amend the filing fee table contained in Exhibit 107 and update Item 14 of Part II of the Registration Statement to provide that the unsold securities and associated filing fees are not being carried over from the Prior Registration Statement pursuant to Rule 415, and instead, the filing fees paid under the Prior Registration Statement are being used to offset the filing fees due under the Registration Statement.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toc2_001"/>
      <w:bookmarkEnd w:id="19"/>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6235" w:type="dxa"/>
        <w:jc w:val="left"/>
        <w:tblInd w:w="0" w:type="dxa"/>
        <w:tblLayout w:type="fixed"/>
        <w:tblCellMar>
          <w:top w:w="0" w:type="dxa"/>
          <w:left w:w="0" w:type="dxa"/>
          <w:bottom w:w="0" w:type="dxa"/>
          <w:right w:w="0" w:type="dxa"/>
        </w:tblCellMar>
      </w:tblPr>
      <w:tblGrid>
        <w:gridCol w:w="5765"/>
        <w:gridCol w:w="60"/>
        <w:gridCol w:w="410"/>
      </w:tblGrid>
      <w:tr>
        <w:trPr/>
        <w:tc>
          <w:tcPr>
            <w:tcW w:w="5765" w:type="dxa"/>
            <w:tcBorders/>
            <w:vAlign w:val="center"/>
          </w:tcPr>
          <w:p>
            <w:pPr>
              <w:pStyle w:val="TableContents"/>
              <w:bidi w:val="0"/>
              <w:spacing w:before="0" w:after="283"/>
              <w:jc w:val="left"/>
              <w:rPr/>
            </w:pPr>
            <w:hyperlink w:anchor="b_001">
              <w:r>
                <w:rPr>
                  <w:rStyle w:val="InternetLink"/>
                  <w:rFonts w:ascii="Times New Roman;Times;Serif" w:hAnsi="Times New Roman;Times;Serif"/>
                  <w:b w:val="false"/>
                  <w:i w:val="false"/>
                  <w:caps w:val="false"/>
                  <w:smallCaps w:val="false"/>
                  <w:sz w:val="20"/>
                </w:rPr>
                <w:t>ABOUT THIS PROSPECTUS</w:t>
              </w:r>
            </w:hyperlink>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r>
      <w:tr>
        <w:trPr/>
        <w:tc>
          <w:tcPr>
            <w:tcW w:w="5765" w:type="dxa"/>
            <w:tcBorders/>
            <w:vAlign w:val="center"/>
          </w:tcPr>
          <w:p>
            <w:pPr>
              <w:pStyle w:val="TableContents"/>
              <w:bidi w:val="0"/>
              <w:spacing w:before="0" w:after="283"/>
              <w:jc w:val="left"/>
              <w:rPr/>
            </w:pPr>
            <w:hyperlink w:anchor="b_002">
              <w:r>
                <w:rPr>
                  <w:rStyle w:val="InternetLink"/>
                  <w:rFonts w:ascii="Times New Roman;Times;Serif" w:hAnsi="Times New Roman;Times;Serif"/>
                  <w:b w:val="false"/>
                  <w:i w:val="false"/>
                  <w:caps w:val="false"/>
                  <w:smallCaps w:val="false"/>
                  <w:sz w:val="20"/>
                </w:rPr>
                <w:t>SUMMARY</w:t>
              </w:r>
            </w:hyperlink>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S-2</w:t>
            </w:r>
          </w:p>
        </w:tc>
      </w:tr>
      <w:tr>
        <w:trPr/>
        <w:tc>
          <w:tcPr>
            <w:tcW w:w="5765" w:type="dxa"/>
            <w:tcBorders/>
            <w:vAlign w:val="center"/>
          </w:tcPr>
          <w:p>
            <w:pPr>
              <w:pStyle w:val="TableContents"/>
              <w:bidi w:val="0"/>
              <w:spacing w:before="0" w:after="283"/>
              <w:jc w:val="left"/>
              <w:rPr/>
            </w:pPr>
            <w:hyperlink w:anchor="b_003">
              <w:r>
                <w:rPr>
                  <w:rStyle w:val="InternetLink"/>
                  <w:rFonts w:ascii="Times New Roman;Times;Serif" w:hAnsi="Times New Roman;Times;Serif"/>
                  <w:b w:val="false"/>
                  <w:i w:val="false"/>
                  <w:caps w:val="false"/>
                  <w:smallCaps w:val="false"/>
                  <w:sz w:val="20"/>
                </w:rPr>
                <w:t>THE OFFERING</w:t>
              </w:r>
            </w:hyperlink>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S-4</w:t>
            </w:r>
          </w:p>
        </w:tc>
      </w:tr>
      <w:tr>
        <w:trPr/>
        <w:tc>
          <w:tcPr>
            <w:tcW w:w="5765" w:type="dxa"/>
            <w:tcBorders/>
            <w:vAlign w:val="center"/>
          </w:tcPr>
          <w:p>
            <w:pPr>
              <w:pStyle w:val="TableContents"/>
              <w:bidi w:val="0"/>
              <w:spacing w:before="0" w:after="283"/>
              <w:jc w:val="left"/>
              <w:rPr/>
            </w:pPr>
            <w:hyperlink w:anchor="b_004">
              <w:r>
                <w:rPr>
                  <w:rStyle w:val="InternetLink"/>
                  <w:rFonts w:ascii="Times New Roman;Times;Serif" w:hAnsi="Times New Roman;Times;Serif"/>
                  <w:b w:val="false"/>
                  <w:i w:val="false"/>
                  <w:caps w:val="false"/>
                  <w:smallCaps w:val="false"/>
                  <w:sz w:val="20"/>
                </w:rPr>
                <w:t>RISK FACTORS</w:t>
              </w:r>
            </w:hyperlink>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S-5</w:t>
            </w:r>
          </w:p>
        </w:tc>
      </w:tr>
      <w:tr>
        <w:trPr/>
        <w:tc>
          <w:tcPr>
            <w:tcW w:w="5765" w:type="dxa"/>
            <w:tcBorders/>
            <w:vAlign w:val="center"/>
          </w:tcPr>
          <w:p>
            <w:pPr>
              <w:pStyle w:val="TableContents"/>
              <w:bidi w:val="0"/>
              <w:spacing w:before="0" w:after="283"/>
              <w:jc w:val="left"/>
              <w:rPr/>
            </w:pPr>
            <w:hyperlink w:anchor="b_005">
              <w:r>
                <w:rPr>
                  <w:rStyle w:val="InternetLink"/>
                  <w:rFonts w:ascii="Times New Roman;Times;Serif" w:hAnsi="Times New Roman;Times;Serif"/>
                  <w:b w:val="false"/>
                  <w:i w:val="false"/>
                  <w:caps w:val="false"/>
                  <w:smallCaps w:val="false"/>
                  <w:sz w:val="20"/>
                </w:rPr>
                <w:t>SPECIAL NOTE REGARDING FORWARD-LOOKING STATEMENTS</w:t>
              </w:r>
            </w:hyperlink>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S-6</w:t>
            </w:r>
          </w:p>
        </w:tc>
      </w:tr>
      <w:tr>
        <w:trPr/>
        <w:tc>
          <w:tcPr>
            <w:tcW w:w="5765" w:type="dxa"/>
            <w:tcBorders/>
            <w:vAlign w:val="center"/>
          </w:tcPr>
          <w:p>
            <w:pPr>
              <w:pStyle w:val="TableContents"/>
              <w:bidi w:val="0"/>
              <w:spacing w:before="0" w:after="283"/>
              <w:jc w:val="left"/>
              <w:rPr/>
            </w:pPr>
            <w:hyperlink w:anchor="b_006">
              <w:r>
                <w:rPr>
                  <w:rStyle w:val="InternetLink"/>
                  <w:rFonts w:ascii="Times New Roman;Times;Serif" w:hAnsi="Times New Roman;Times;Serif"/>
                  <w:b w:val="false"/>
                  <w:i w:val="false"/>
                  <w:caps w:val="false"/>
                  <w:smallCaps w:val="false"/>
                  <w:sz w:val="20"/>
                </w:rPr>
                <w:t>USE OF PROCEEDS</w:t>
              </w:r>
            </w:hyperlink>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S-6</w:t>
            </w:r>
          </w:p>
        </w:tc>
      </w:tr>
      <w:tr>
        <w:trPr/>
        <w:tc>
          <w:tcPr>
            <w:tcW w:w="5765" w:type="dxa"/>
            <w:tcBorders/>
            <w:vAlign w:val="center"/>
          </w:tcPr>
          <w:p>
            <w:pPr>
              <w:pStyle w:val="TableContents"/>
              <w:bidi w:val="0"/>
              <w:spacing w:before="0" w:after="283"/>
              <w:jc w:val="left"/>
              <w:rPr/>
            </w:pPr>
            <w:hyperlink w:anchor="b_007">
              <w:r>
                <w:rPr>
                  <w:rStyle w:val="InternetLink"/>
                  <w:rFonts w:ascii="Times New Roman;Times;Serif" w:hAnsi="Times New Roman;Times;Serif"/>
                  <w:b w:val="false"/>
                  <w:i w:val="false"/>
                  <w:caps w:val="false"/>
                  <w:smallCaps w:val="false"/>
                  <w:sz w:val="20"/>
                </w:rPr>
                <w:t>DILUTION</w:t>
              </w:r>
            </w:hyperlink>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S-7</w:t>
            </w:r>
          </w:p>
        </w:tc>
      </w:tr>
      <w:tr>
        <w:trPr/>
        <w:tc>
          <w:tcPr>
            <w:tcW w:w="5765" w:type="dxa"/>
            <w:tcBorders/>
            <w:vAlign w:val="center"/>
          </w:tcPr>
          <w:p>
            <w:pPr>
              <w:pStyle w:val="TableContents"/>
              <w:bidi w:val="0"/>
              <w:spacing w:before="0" w:after="283"/>
              <w:jc w:val="left"/>
              <w:rPr/>
            </w:pPr>
            <w:hyperlink w:anchor="b_008">
              <w:r>
                <w:rPr>
                  <w:rStyle w:val="InternetLink"/>
                  <w:rFonts w:ascii="Times New Roman;Times;Serif" w:hAnsi="Times New Roman;Times;Serif"/>
                  <w:b w:val="false"/>
                  <w:i w:val="false"/>
                  <w:caps w:val="false"/>
                  <w:smallCaps w:val="false"/>
                  <w:sz w:val="20"/>
                </w:rPr>
                <w:t>PLAN OF DISTRIBUTION</w:t>
              </w:r>
            </w:hyperlink>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S-8</w:t>
            </w:r>
          </w:p>
        </w:tc>
      </w:tr>
      <w:tr>
        <w:trPr/>
        <w:tc>
          <w:tcPr>
            <w:tcW w:w="5765" w:type="dxa"/>
            <w:tcBorders/>
            <w:vAlign w:val="center"/>
          </w:tcPr>
          <w:p>
            <w:pPr>
              <w:pStyle w:val="TableContents"/>
              <w:bidi w:val="0"/>
              <w:spacing w:before="0" w:after="283"/>
              <w:jc w:val="left"/>
              <w:rPr/>
            </w:pPr>
            <w:hyperlink w:anchor="b_009">
              <w:r>
                <w:rPr>
                  <w:rStyle w:val="InternetLink"/>
                  <w:rFonts w:ascii="Times New Roman;Times;Serif" w:hAnsi="Times New Roman;Times;Serif"/>
                  <w:b w:val="false"/>
                  <w:i w:val="false"/>
                  <w:caps w:val="false"/>
                  <w:smallCaps w:val="false"/>
                  <w:sz w:val="20"/>
                </w:rPr>
                <w:t>LEGAL MATTERS</w:t>
              </w:r>
            </w:hyperlink>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S-10</w:t>
            </w:r>
          </w:p>
        </w:tc>
      </w:tr>
      <w:tr>
        <w:trPr/>
        <w:tc>
          <w:tcPr>
            <w:tcW w:w="5765" w:type="dxa"/>
            <w:tcBorders/>
            <w:vAlign w:val="center"/>
          </w:tcPr>
          <w:p>
            <w:pPr>
              <w:pStyle w:val="TableContents"/>
              <w:bidi w:val="0"/>
              <w:spacing w:before="0" w:after="283"/>
              <w:jc w:val="left"/>
              <w:rPr/>
            </w:pPr>
            <w:hyperlink w:anchor="b_010">
              <w:r>
                <w:rPr>
                  <w:rStyle w:val="InternetLink"/>
                  <w:rFonts w:ascii="Times New Roman;Times;Serif" w:hAnsi="Times New Roman;Times;Serif"/>
                  <w:b w:val="false"/>
                  <w:i w:val="false"/>
                  <w:caps w:val="false"/>
                  <w:smallCaps w:val="false"/>
                  <w:sz w:val="20"/>
                </w:rPr>
                <w:t>EXPERTS</w:t>
              </w:r>
            </w:hyperlink>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S-10</w:t>
            </w:r>
          </w:p>
        </w:tc>
      </w:tr>
      <w:tr>
        <w:trPr/>
        <w:tc>
          <w:tcPr>
            <w:tcW w:w="5765" w:type="dxa"/>
            <w:tcBorders/>
            <w:vAlign w:val="center"/>
          </w:tcPr>
          <w:p>
            <w:pPr>
              <w:pStyle w:val="TableContents"/>
              <w:bidi w:val="0"/>
              <w:spacing w:before="0" w:after="283"/>
              <w:jc w:val="left"/>
              <w:rPr/>
            </w:pPr>
            <w:hyperlink w:anchor="b_011">
              <w:r>
                <w:rPr>
                  <w:rStyle w:val="InternetLink"/>
                  <w:rFonts w:ascii="Times New Roman;Times;Serif" w:hAnsi="Times New Roman;Times;Serif"/>
                  <w:b w:val="false"/>
                  <w:i w:val="false"/>
                  <w:caps w:val="false"/>
                  <w:smallCaps w:val="false"/>
                  <w:sz w:val="20"/>
                </w:rPr>
                <w:t>AVAILABLE INFORMATION</w:t>
              </w:r>
            </w:hyperlink>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S-10</w:t>
            </w:r>
          </w:p>
        </w:tc>
      </w:tr>
      <w:tr>
        <w:trPr/>
        <w:tc>
          <w:tcPr>
            <w:tcW w:w="5765" w:type="dxa"/>
            <w:tcBorders/>
            <w:vAlign w:val="center"/>
          </w:tcPr>
          <w:p>
            <w:pPr>
              <w:pStyle w:val="TableContents"/>
              <w:bidi w:val="0"/>
              <w:spacing w:before="0" w:after="283"/>
              <w:jc w:val="left"/>
              <w:rPr/>
            </w:pPr>
            <w:hyperlink w:anchor="b_012">
              <w:r>
                <w:rPr>
                  <w:rStyle w:val="InternetLink"/>
                  <w:rFonts w:ascii="Times New Roman;Times;Serif" w:hAnsi="Times New Roman;Times;Serif"/>
                  <w:b w:val="false"/>
                  <w:i w:val="false"/>
                  <w:caps w:val="false"/>
                  <w:smallCaps w:val="false"/>
                  <w:sz w:val="20"/>
                </w:rPr>
                <w:t>INFORMATION INCORPORATED BY REFERENCE</w:t>
              </w:r>
            </w:hyperlink>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w:t>
      </w:r>
    </w:p>
    <w:p>
      <w:pPr>
        <w:pStyle w:val="TextBody"/>
        <w:bidi w:val="0"/>
        <w:spacing w:before="0" w:after="0"/>
        <w:ind w:left="0" w:right="0" w:hanging="0"/>
        <w:jc w:val="left"/>
        <w:rPr/>
      </w:pPr>
      <w:hyperlink w:anchor="toc2_001">
        <w:r>
          <w:rPr>
            <w:rStyle w:val="InternetLink"/>
          </w:rPr>
          <w:t>Table of Contents</w:t>
        </w:r>
      </w:hyperlink>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1" w:color="000000"/>
        </w:rPr>
      </w:pPr>
      <w:bookmarkStart w:id="20" w:name="b_001"/>
      <w:bookmarkEnd w:id="20"/>
      <w:r>
        <w:rPr>
          <w:rFonts w:ascii="Times New Roman;Times;Serif" w:hAnsi="Times New Roman;Times;Serif"/>
          <w:b/>
          <w:i w:val="false"/>
          <w:caps w:val="false"/>
          <w:smallCaps w:val="false"/>
          <w:sz w:val="20"/>
          <w:bdr w:val="single" w:sz="8" w:space="1" w:color="000000"/>
        </w:rPr>
        <w:t>ABOUT THIS PROSPECTUS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purpose of this prospectus is to allow us to make sales from the “shelf” in “at -the-market” or “ATM” transactions. Unlike in underwritten public offerings, sales under ATM programs are not marketed, they are made at prevailing market prices, and they are generally less dilutive to stockholders than marketed offerings that generate the same net proceeds because (i) they are typically less expensive to transact than marketed offerings and (ii) they can be executed without a discount to the prevailing market price of the stock that is typical in marketed offerings. Our board of directors has concluded that, at this time, it is in our best interest to have an ATM program available and to be used at our discretion for capital raising, since it enables us to determine the timing, the quantity and pricing of sales.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This prospectus forms part of a registration statement on Form S-3 that we filed with the Securities and Exchange Commission (the “SEC” or the “Commission”) using a “shelf” registration process. Before you invest in shares of our common stock, you should read this prospectus, together with additional information described below under the caption “Where You Can Find More Information.”</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Any statement made in the prospectus or in a document incorporated or deemed to be incorporated by reference therein will be deemed to be modified or superseded for purposes of this prospectus to the extent that a statement contained in this prospectus or in any other subsequently filed document that is also incorporated or deemed to be incorporated by reference in this prospectus modifies or supersedes that statement. Any statement so modified or superseded will not be deemed, except as so modified or superseded, to constitute a part of this prospectus.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are responsible for the information contained in or incorporated by reference in this prospectus and any related free writing prospectus we have authorized for use in connection with this offering. This prospectus may be used only for the purpose for which it has been prepared. Neither we nor any other person has authorized anyone to provide information different from the information contained in this prospectus and any related free writing prospectus and the documents incorporated by reference herein and therein.</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are not making an offer to sell our common stock in any jurisdiction where the offer or sale is not permitted. You should not assume that the information appearing in this prospectus or any free writing prospectus we have authorized for use in connection with this offering is accurate as of any date other than the date of the applicable document. This prospectus does not constitute an offer or an invitation to subscribe for and purchase any of our securities and may not be used for or in connection with an offer or solicitation by any person, in any jurisdiction in which such an offer or solicitation is not authorized or to any person to whom it is unlawful to make such an offer or solicitation.</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w:t>
      </w:r>
    </w:p>
    <w:p>
      <w:pPr>
        <w:pStyle w:val="TextBody"/>
        <w:bidi w:val="0"/>
        <w:spacing w:before="0" w:after="0"/>
        <w:ind w:left="0" w:right="0" w:hanging="0"/>
        <w:jc w:val="left"/>
        <w:rPr/>
      </w:pPr>
      <w:hyperlink w:anchor="toc2_001">
        <w:r>
          <w:rPr>
            <w:rStyle w:val="InternetLink"/>
          </w:rPr>
          <w:t>Table of Contents</w:t>
        </w:r>
      </w:hyperlink>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1" w:color="000000"/>
        </w:rPr>
      </w:pPr>
      <w:bookmarkStart w:id="21" w:name="b_002"/>
      <w:bookmarkEnd w:id="21"/>
      <w:r>
        <w:rPr>
          <w:rFonts w:ascii="Times New Roman;Times;Serif" w:hAnsi="Times New Roman;Times;Serif"/>
          <w:b/>
          <w:i w:val="false"/>
          <w:caps w:val="false"/>
          <w:smallCaps w:val="false"/>
          <w:sz w:val="20"/>
          <w:bdr w:val="single" w:sz="8" w:space="1" w:color="000000"/>
        </w:rPr>
        <w:t>SUMMARY</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 xml:space="preserve">This summary highlights selected information included elsewhere in or incorporated by reference in this prospectus and does not contain all of the information that you should consider before investing in our common stock. You should read the entire prospectus carefully, especially </w:t>
      </w:r>
      <w:r>
        <w:rPr>
          <w:rFonts w:ascii="Times New Roman;Times;Serif" w:hAnsi="Times New Roman;Times;Serif"/>
          <w:b w:val="false"/>
          <w:i w:val="false"/>
          <w:caps w:val="false"/>
          <w:smallCaps w:val="false"/>
          <w:sz w:val="20"/>
          <w:bdr w:val="single" w:sz="8" w:space="1" w:color="000000"/>
        </w:rPr>
        <w:t>“</w:t>
      </w:r>
      <w:r>
        <w:rPr>
          <w:rFonts w:ascii="Times New Roman;Times;Serif" w:hAnsi="Times New Roman;Times;Serif"/>
          <w:b w:val="false"/>
          <w:i/>
          <w:caps w:val="false"/>
          <w:smallCaps w:val="false"/>
          <w:sz w:val="20"/>
          <w:bdr w:val="single" w:sz="8" w:space="1" w:color="000000"/>
        </w:rPr>
        <w:t>Risk Factors</w:t>
      </w:r>
      <w:r>
        <w:rPr>
          <w:rFonts w:ascii="Times New Roman;Times;Serif" w:hAnsi="Times New Roman;Times;Serif"/>
          <w:b w:val="false"/>
          <w:i w:val="false"/>
          <w:caps w:val="false"/>
          <w:smallCaps w:val="false"/>
          <w:sz w:val="20"/>
          <w:bdr w:val="single" w:sz="8" w:space="1" w:color="000000"/>
        </w:rPr>
        <w:t xml:space="preserve">” </w:t>
      </w:r>
      <w:r>
        <w:rPr>
          <w:rFonts w:ascii="Times New Roman;Times;Serif" w:hAnsi="Times New Roman;Times;Serif"/>
          <w:b w:val="false"/>
          <w:i/>
          <w:caps w:val="false"/>
          <w:smallCaps w:val="false"/>
          <w:sz w:val="20"/>
          <w:bdr w:val="single" w:sz="8" w:space="1" w:color="000000"/>
        </w:rPr>
        <w:t xml:space="preserve">and the financial statements and related notes and other information incorporated by reference into this prospectus, before deciding whether to participate in the offering described in this prospectus. In this prospectus, unless expressly noted or the content indicates otherwise, the words </w:t>
      </w:r>
      <w:r>
        <w:rPr>
          <w:rFonts w:ascii="Times New Roman;Times;Serif" w:hAnsi="Times New Roman;Times;Serif"/>
          <w:b w:val="false"/>
          <w:i w:val="false"/>
          <w:caps w:val="false"/>
          <w:smallCaps w:val="false"/>
          <w:sz w:val="20"/>
          <w:bdr w:val="single" w:sz="8" w:space="1" w:color="000000"/>
        </w:rPr>
        <w:t>“</w:t>
      </w:r>
      <w:r>
        <w:rPr>
          <w:rFonts w:ascii="Times New Roman;Times;Serif" w:hAnsi="Times New Roman;Times;Serif"/>
          <w:b w:val="false"/>
          <w:i/>
          <w:caps w:val="false"/>
          <w:smallCaps w:val="false"/>
          <w:sz w:val="20"/>
          <w:bdr w:val="single" w:sz="8" w:space="1" w:color="000000"/>
        </w:rPr>
        <w:t>we,</w:t>
      </w:r>
      <w:r>
        <w:rPr>
          <w:rFonts w:ascii="Times New Roman;Times;Serif" w:hAnsi="Times New Roman;Times;Serif"/>
          <w:b w:val="false"/>
          <w:i w:val="false"/>
          <w:caps w:val="false"/>
          <w:smallCaps w:val="false"/>
          <w:sz w:val="20"/>
          <w:bdr w:val="single" w:sz="8" w:space="1" w:color="000000"/>
        </w:rPr>
        <w:t>” “</w:t>
      </w:r>
      <w:r>
        <w:rPr>
          <w:rFonts w:ascii="Times New Roman;Times;Serif" w:hAnsi="Times New Roman;Times;Serif"/>
          <w:b w:val="false"/>
          <w:i/>
          <w:caps w:val="false"/>
          <w:smallCaps w:val="false"/>
          <w:sz w:val="20"/>
          <w:bdr w:val="single" w:sz="8" w:space="1" w:color="000000"/>
        </w:rPr>
        <w:t>us,</w:t>
      </w:r>
      <w:r>
        <w:rPr>
          <w:rFonts w:ascii="Times New Roman;Times;Serif" w:hAnsi="Times New Roman;Times;Serif"/>
          <w:b w:val="false"/>
          <w:i w:val="false"/>
          <w:caps w:val="false"/>
          <w:smallCaps w:val="false"/>
          <w:sz w:val="20"/>
          <w:bdr w:val="single" w:sz="8" w:space="1" w:color="000000"/>
        </w:rPr>
        <w:t>” “</w:t>
      </w:r>
      <w:r>
        <w:rPr>
          <w:rFonts w:ascii="Times New Roman;Times;Serif" w:hAnsi="Times New Roman;Times;Serif"/>
          <w:b w:val="false"/>
          <w:i/>
          <w:caps w:val="false"/>
          <w:smallCaps w:val="false"/>
          <w:sz w:val="20"/>
          <w:bdr w:val="single" w:sz="8" w:space="1" w:color="000000"/>
        </w:rPr>
        <w:t>our,</w:t>
      </w:r>
      <w:r>
        <w:rPr>
          <w:rFonts w:ascii="Times New Roman;Times;Serif" w:hAnsi="Times New Roman;Times;Serif"/>
          <w:b w:val="false"/>
          <w:i w:val="false"/>
          <w:caps w:val="false"/>
          <w:smallCaps w:val="false"/>
          <w:sz w:val="20"/>
          <w:bdr w:val="single" w:sz="8" w:space="1" w:color="000000"/>
        </w:rPr>
        <w:t>” “</w:t>
      </w:r>
      <w:r>
        <w:rPr>
          <w:rFonts w:ascii="Times New Roman;Times;Serif" w:hAnsi="Times New Roman;Times;Serif"/>
          <w:b w:val="false"/>
          <w:i/>
          <w:caps w:val="false"/>
          <w:smallCaps w:val="false"/>
          <w:sz w:val="20"/>
          <w:bdr w:val="single" w:sz="8" w:space="1" w:color="000000"/>
        </w:rPr>
        <w:t>JAKKS,</w:t>
      </w:r>
      <w:r>
        <w:rPr>
          <w:rFonts w:ascii="Times New Roman;Times;Serif" w:hAnsi="Times New Roman;Times;Serif"/>
          <w:b w:val="false"/>
          <w:i w:val="false"/>
          <w:caps w:val="false"/>
          <w:smallCaps w:val="false"/>
          <w:sz w:val="20"/>
          <w:bdr w:val="single" w:sz="8" w:space="1" w:color="000000"/>
        </w:rPr>
        <w:t>” “</w:t>
      </w:r>
      <w:r>
        <w:rPr>
          <w:rFonts w:ascii="Times New Roman;Times;Serif" w:hAnsi="Times New Roman;Times;Serif"/>
          <w:b w:val="false"/>
          <w:i/>
          <w:caps w:val="false"/>
          <w:smallCaps w:val="false"/>
          <w:sz w:val="20"/>
          <w:bdr w:val="single" w:sz="8" w:space="1" w:color="000000"/>
        </w:rPr>
        <w:t>company</w:t>
      </w:r>
      <w:r>
        <w:rPr>
          <w:rFonts w:ascii="Times New Roman;Times;Serif" w:hAnsi="Times New Roman;Times;Serif"/>
          <w:b w:val="false"/>
          <w:i w:val="false"/>
          <w:caps w:val="false"/>
          <w:smallCaps w:val="false"/>
          <w:sz w:val="20"/>
          <w:bdr w:val="single" w:sz="8" w:space="1" w:color="000000"/>
        </w:rPr>
        <w:t xml:space="preserve">” </w:t>
      </w:r>
      <w:r>
        <w:rPr>
          <w:rFonts w:ascii="Times New Roman;Times;Serif" w:hAnsi="Times New Roman;Times;Serif"/>
          <w:b w:val="false"/>
          <w:i/>
          <w:caps w:val="false"/>
          <w:smallCaps w:val="false"/>
          <w:sz w:val="20"/>
          <w:bdr w:val="single" w:sz="8" w:space="1" w:color="000000"/>
        </w:rPr>
        <w:t>and similar references mean JAKKS Pacific, Inc. and its subsidiaries.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About JAKKS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are a leading multi-product line, multi-brand toy company that designs, produces, markets, sells and distributes toys and related kid-targeted consumer products, inclusive of kids indoor and outdoor furniture, costumes and various product lines in the sporting goods and home furnishings space. We focus our business on acquiring or licensing well-recognized intellectual property (“IP”), trademarks and/or brand names, most with long product histories (“evergreen brands”). We seek to acquire/license these evergreen brands because we believe they are less subject to market fads or trends. We also develop proprietary products marketed under our own trademarks and brand names and have historically acquired complementary businesses to further grow our portfolio. For accounting purposes, our products have been divided into two segments: (i) Toys/Consumer Products and (ii) Costumes. Segment information with respect to revenues, assets and profits or losses attributable to each segment is contained in the Notes to Financial Statements contained in our Annual and Quarterly Reports filed with the SEC. Our products include:</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89"/>
        <w:gridCol w:w="184"/>
        <w:gridCol w:w="9932"/>
      </w:tblGrid>
      <w:tr>
        <w:trPr/>
        <w:tc>
          <w:tcPr>
            <w:tcW w:w="89"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84"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9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Action figures and accessories, including licensed characters based on the Nintendo®, Sonic the Hedgehog®, and The Simpsons® franchises and our own proprietary brands including Creepy Crawlers®; </w:t>
            </w:r>
          </w:p>
        </w:tc>
      </w:tr>
      <w:tr>
        <w:trPr/>
        <w:tc>
          <w:tcPr>
            <w:tcW w:w="89" w:type="dxa"/>
            <w:tcBorders/>
            <w:vAlign w:val="center"/>
          </w:tcPr>
          <w:p>
            <w:pPr>
              <w:pStyle w:val="TableContents"/>
              <w:bidi w:val="0"/>
              <w:spacing w:before="0" w:after="283"/>
              <w:jc w:val="left"/>
              <w:rPr>
                <w:caps w:val="false"/>
                <w:smallCaps w:val="false"/>
              </w:rPr>
            </w:pPr>
            <w:r>
              <w:rPr>
                <w:caps w:val="false"/>
                <w:smallCaps w:val="false"/>
              </w:rPr>
              <w:t> </w:t>
            </w:r>
          </w:p>
        </w:tc>
        <w:tc>
          <w:tcPr>
            <w:tcW w:w="184" w:type="dxa"/>
            <w:tcBorders/>
            <w:vAlign w:val="center"/>
          </w:tcPr>
          <w:p>
            <w:pPr>
              <w:pStyle w:val="TableContents"/>
              <w:bidi w:val="0"/>
              <w:spacing w:before="0" w:after="283"/>
              <w:jc w:val="left"/>
              <w:rPr>
                <w:caps w:val="false"/>
                <w:smallCaps w:val="false"/>
              </w:rPr>
            </w:pPr>
            <w:r>
              <w:rPr>
                <w:caps w:val="false"/>
                <w:smallCaps w:val="false"/>
              </w:rPr>
              <w:t> </w:t>
            </w:r>
          </w:p>
        </w:tc>
        <w:tc>
          <w:tcPr>
            <w:tcW w:w="993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9" w:type="dxa"/>
            <w:tcBorders/>
            <w:vAlign w:val="center"/>
          </w:tcPr>
          <w:p>
            <w:pPr>
              <w:pStyle w:val="TableContents"/>
              <w:bidi w:val="0"/>
              <w:spacing w:before="0" w:after="283"/>
              <w:jc w:val="left"/>
              <w:rPr>
                <w:caps w:val="false"/>
                <w:smallCaps w:val="false"/>
              </w:rPr>
            </w:pPr>
            <w:r>
              <w:rPr>
                <w:caps w:val="false"/>
                <w:smallCaps w:val="false"/>
              </w:rPr>
              <w:t> </w:t>
            </w:r>
          </w:p>
        </w:tc>
        <w:tc>
          <w:tcPr>
            <w:tcW w:w="184" w:type="dxa"/>
            <w:tcBorders/>
            <w:vAlign w:val="center"/>
          </w:tcPr>
          <w:p>
            <w:pPr>
              <w:pStyle w:val="TableContents"/>
              <w:bidi w:val="0"/>
              <w:spacing w:before="0" w:after="283"/>
              <w:jc w:val="left"/>
              <w:rPr>
                <w:caps w:val="false"/>
                <w:smallCaps w:val="false"/>
              </w:rPr>
            </w:pPr>
            <w:r>
              <w:rPr>
                <w:caps w:val="false"/>
                <w:smallCaps w:val="false"/>
              </w:rPr>
              <w:t>●</w:t>
            </w:r>
          </w:p>
        </w:tc>
        <w:tc>
          <w:tcPr>
            <w:tcW w:w="99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Toy vehicles, including Xtreme Power Dozer®, Xtreme Power Dump Truck®, XPV®, Road Champs®, Fly Wheels® and AirTitans® inflatable remote-control dinosaur;</w:t>
            </w:r>
          </w:p>
        </w:tc>
      </w:tr>
      <w:tr>
        <w:trPr/>
        <w:tc>
          <w:tcPr>
            <w:tcW w:w="89" w:type="dxa"/>
            <w:tcBorders/>
            <w:vAlign w:val="center"/>
          </w:tcPr>
          <w:p>
            <w:pPr>
              <w:pStyle w:val="TableContents"/>
              <w:bidi w:val="0"/>
              <w:spacing w:before="0" w:after="283"/>
              <w:jc w:val="left"/>
              <w:rPr>
                <w:caps w:val="false"/>
                <w:smallCaps w:val="false"/>
              </w:rPr>
            </w:pPr>
            <w:r>
              <w:rPr>
                <w:caps w:val="false"/>
                <w:smallCaps w:val="false"/>
              </w:rPr>
              <w:t> </w:t>
            </w:r>
          </w:p>
        </w:tc>
        <w:tc>
          <w:tcPr>
            <w:tcW w:w="184" w:type="dxa"/>
            <w:tcBorders/>
            <w:vAlign w:val="center"/>
          </w:tcPr>
          <w:p>
            <w:pPr>
              <w:pStyle w:val="TableContents"/>
              <w:bidi w:val="0"/>
              <w:spacing w:before="0" w:after="283"/>
              <w:jc w:val="left"/>
              <w:rPr>
                <w:caps w:val="false"/>
                <w:smallCaps w:val="false"/>
              </w:rPr>
            </w:pPr>
            <w:r>
              <w:rPr>
                <w:caps w:val="false"/>
                <w:smallCaps w:val="false"/>
              </w:rPr>
              <w:t> </w:t>
            </w:r>
          </w:p>
        </w:tc>
        <w:tc>
          <w:tcPr>
            <w:tcW w:w="993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9"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84"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9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Dolls and accessories, including small dolls, large dolls, fashion dolls and baby dolls based on licenses, including Disney Darlings®, Disney Encanto®, Disney Moana® 2, Disney ILY 4EVER® Disney Frozen®, Disney Princess® and Minnie Mouse®, and infant and pre-school toys based on TV shows like PBS’s Daniel Tiger’s Neighborhood® as well as in-house brands such as Perfectly Cute®, Charming</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and KidTopia</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w:t>
            </w:r>
          </w:p>
        </w:tc>
      </w:tr>
      <w:tr>
        <w:trPr/>
        <w:tc>
          <w:tcPr>
            <w:tcW w:w="89" w:type="dxa"/>
            <w:tcBorders/>
            <w:vAlign w:val="center"/>
          </w:tcPr>
          <w:p>
            <w:pPr>
              <w:pStyle w:val="TableContents"/>
              <w:bidi w:val="0"/>
              <w:spacing w:before="0" w:after="283"/>
              <w:jc w:val="left"/>
              <w:rPr>
                <w:caps w:val="false"/>
                <w:smallCaps w:val="false"/>
              </w:rPr>
            </w:pPr>
            <w:r>
              <w:rPr>
                <w:caps w:val="false"/>
                <w:smallCaps w:val="false"/>
              </w:rPr>
              <w:t> </w:t>
            </w:r>
          </w:p>
        </w:tc>
        <w:tc>
          <w:tcPr>
            <w:tcW w:w="184" w:type="dxa"/>
            <w:tcBorders/>
            <w:vAlign w:val="center"/>
          </w:tcPr>
          <w:p>
            <w:pPr>
              <w:pStyle w:val="TableContents"/>
              <w:bidi w:val="0"/>
              <w:spacing w:before="0" w:after="283"/>
              <w:jc w:val="left"/>
              <w:rPr>
                <w:caps w:val="false"/>
                <w:smallCaps w:val="false"/>
              </w:rPr>
            </w:pPr>
            <w:r>
              <w:rPr>
                <w:caps w:val="false"/>
                <w:smallCaps w:val="false"/>
              </w:rPr>
              <w:t> </w:t>
            </w:r>
          </w:p>
        </w:tc>
        <w:tc>
          <w:tcPr>
            <w:tcW w:w="993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9" w:type="dxa"/>
            <w:tcBorders/>
            <w:vAlign w:val="center"/>
          </w:tcPr>
          <w:p>
            <w:pPr>
              <w:pStyle w:val="TableContents"/>
              <w:bidi w:val="0"/>
              <w:spacing w:before="0" w:after="283"/>
              <w:jc w:val="left"/>
              <w:rPr>
                <w:caps w:val="false"/>
                <w:smallCaps w:val="false"/>
              </w:rPr>
            </w:pPr>
            <w:r>
              <w:rPr>
                <w:caps w:val="false"/>
                <w:smallCaps w:val="false"/>
              </w:rPr>
              <w:t> </w:t>
            </w:r>
          </w:p>
        </w:tc>
        <w:tc>
          <w:tcPr>
            <w:tcW w:w="184" w:type="dxa"/>
            <w:tcBorders/>
            <w:vAlign w:val="center"/>
          </w:tcPr>
          <w:p>
            <w:pPr>
              <w:pStyle w:val="TableContents"/>
              <w:bidi w:val="0"/>
              <w:spacing w:before="0" w:after="283"/>
              <w:jc w:val="left"/>
              <w:rPr>
                <w:caps w:val="false"/>
                <w:smallCaps w:val="false"/>
              </w:rPr>
            </w:pPr>
            <w:r>
              <w:rPr>
                <w:caps w:val="false"/>
                <w:smallCaps w:val="false"/>
              </w:rPr>
              <w:t>●</w:t>
            </w:r>
          </w:p>
        </w:tc>
        <w:tc>
          <w:tcPr>
            <w:tcW w:w="99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 label products developed exclusively for certain retail customers in various product categories;</w:t>
            </w:r>
          </w:p>
        </w:tc>
      </w:tr>
      <w:tr>
        <w:trPr/>
        <w:tc>
          <w:tcPr>
            <w:tcW w:w="89" w:type="dxa"/>
            <w:tcBorders/>
            <w:vAlign w:val="center"/>
          </w:tcPr>
          <w:p>
            <w:pPr>
              <w:pStyle w:val="TableContents"/>
              <w:bidi w:val="0"/>
              <w:spacing w:before="0" w:after="283"/>
              <w:jc w:val="left"/>
              <w:rPr>
                <w:caps w:val="false"/>
                <w:smallCaps w:val="false"/>
              </w:rPr>
            </w:pPr>
            <w:r>
              <w:rPr>
                <w:caps w:val="false"/>
                <w:smallCaps w:val="false"/>
              </w:rPr>
              <w:t> </w:t>
            </w:r>
          </w:p>
        </w:tc>
        <w:tc>
          <w:tcPr>
            <w:tcW w:w="184" w:type="dxa"/>
            <w:tcBorders/>
            <w:vAlign w:val="center"/>
          </w:tcPr>
          <w:p>
            <w:pPr>
              <w:pStyle w:val="TableContents"/>
              <w:bidi w:val="0"/>
              <w:spacing w:before="0" w:after="283"/>
              <w:jc w:val="left"/>
              <w:rPr>
                <w:caps w:val="false"/>
                <w:smallCaps w:val="false"/>
              </w:rPr>
            </w:pPr>
            <w:r>
              <w:rPr>
                <w:caps w:val="false"/>
                <w:smallCaps w:val="false"/>
              </w:rPr>
              <w:t> </w:t>
            </w:r>
          </w:p>
        </w:tc>
        <w:tc>
          <w:tcPr>
            <w:tcW w:w="993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9"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84"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9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Foot-to-floor ride-on products, including those based on BBC’s Bluey®, Fisher-Price®, Nickelodeon®, and Hasbro® licenses and inflatable play environments, tents and wagons; </w:t>
            </w:r>
          </w:p>
        </w:tc>
      </w:tr>
      <w:tr>
        <w:trPr/>
        <w:tc>
          <w:tcPr>
            <w:tcW w:w="89" w:type="dxa"/>
            <w:tcBorders/>
            <w:vAlign w:val="center"/>
          </w:tcPr>
          <w:p>
            <w:pPr>
              <w:pStyle w:val="TableContents"/>
              <w:bidi w:val="0"/>
              <w:spacing w:before="0" w:after="283"/>
              <w:jc w:val="left"/>
              <w:rPr>
                <w:caps w:val="false"/>
                <w:smallCaps w:val="false"/>
              </w:rPr>
            </w:pPr>
            <w:r>
              <w:rPr>
                <w:caps w:val="false"/>
                <w:smallCaps w:val="false"/>
              </w:rPr>
              <w:t> </w:t>
            </w:r>
          </w:p>
        </w:tc>
        <w:tc>
          <w:tcPr>
            <w:tcW w:w="184" w:type="dxa"/>
            <w:tcBorders/>
            <w:vAlign w:val="center"/>
          </w:tcPr>
          <w:p>
            <w:pPr>
              <w:pStyle w:val="TableContents"/>
              <w:bidi w:val="0"/>
              <w:spacing w:before="0" w:after="283"/>
              <w:jc w:val="left"/>
              <w:rPr>
                <w:caps w:val="false"/>
                <w:smallCaps w:val="false"/>
              </w:rPr>
            </w:pPr>
            <w:r>
              <w:rPr>
                <w:caps w:val="false"/>
                <w:smallCaps w:val="false"/>
              </w:rPr>
              <w:t> </w:t>
            </w:r>
          </w:p>
        </w:tc>
        <w:tc>
          <w:tcPr>
            <w:tcW w:w="993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9" w:type="dxa"/>
            <w:tcBorders/>
            <w:vAlign w:val="center"/>
          </w:tcPr>
          <w:p>
            <w:pPr>
              <w:pStyle w:val="TableContents"/>
              <w:bidi w:val="0"/>
              <w:spacing w:before="0" w:after="283"/>
              <w:jc w:val="left"/>
              <w:rPr>
                <w:caps w:val="false"/>
                <w:smallCaps w:val="false"/>
              </w:rPr>
            </w:pPr>
            <w:r>
              <w:rPr>
                <w:caps w:val="false"/>
                <w:smallCaps w:val="false"/>
              </w:rPr>
              <w:t> </w:t>
            </w:r>
          </w:p>
        </w:tc>
        <w:tc>
          <w:tcPr>
            <w:tcW w:w="184" w:type="dxa"/>
            <w:tcBorders/>
            <w:vAlign w:val="center"/>
          </w:tcPr>
          <w:p>
            <w:pPr>
              <w:pStyle w:val="TableContents"/>
              <w:bidi w:val="0"/>
              <w:spacing w:before="0" w:after="283"/>
              <w:jc w:val="left"/>
              <w:rPr>
                <w:caps w:val="false"/>
                <w:smallCaps w:val="false"/>
              </w:rPr>
            </w:pPr>
            <w:r>
              <w:rPr>
                <w:caps w:val="false"/>
                <w:smallCaps w:val="false"/>
              </w:rPr>
              <w:t>●</w:t>
            </w:r>
          </w:p>
        </w:tc>
        <w:tc>
          <w:tcPr>
            <w:tcW w:w="99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Role play, dress-up, pretend play and novelty products for boys and girls based on well-known brands and entertainment properties such as Disney Frozen®</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Black &amp; Decker®</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Disney Princess®, and Disney Encanto®, as well as those based on our own proprietary brands;</w:t>
            </w:r>
          </w:p>
        </w:tc>
      </w:tr>
      <w:tr>
        <w:trPr/>
        <w:tc>
          <w:tcPr>
            <w:tcW w:w="89" w:type="dxa"/>
            <w:tcBorders/>
            <w:vAlign w:val="center"/>
          </w:tcPr>
          <w:p>
            <w:pPr>
              <w:pStyle w:val="TableContents"/>
              <w:bidi w:val="0"/>
              <w:spacing w:before="0" w:after="283"/>
              <w:jc w:val="left"/>
              <w:rPr>
                <w:caps w:val="false"/>
                <w:smallCaps w:val="false"/>
              </w:rPr>
            </w:pPr>
            <w:r>
              <w:rPr>
                <w:caps w:val="false"/>
                <w:smallCaps w:val="false"/>
              </w:rPr>
              <w:t> </w:t>
            </w:r>
          </w:p>
        </w:tc>
        <w:tc>
          <w:tcPr>
            <w:tcW w:w="184" w:type="dxa"/>
            <w:tcBorders/>
            <w:vAlign w:val="center"/>
          </w:tcPr>
          <w:p>
            <w:pPr>
              <w:pStyle w:val="TableContents"/>
              <w:bidi w:val="0"/>
              <w:spacing w:before="0" w:after="283"/>
              <w:jc w:val="left"/>
              <w:rPr>
                <w:caps w:val="false"/>
                <w:smallCaps w:val="false"/>
              </w:rPr>
            </w:pPr>
            <w:r>
              <w:rPr>
                <w:caps w:val="false"/>
                <w:smallCaps w:val="false"/>
              </w:rPr>
              <w:t> </w:t>
            </w:r>
          </w:p>
        </w:tc>
        <w:tc>
          <w:tcPr>
            <w:tcW w:w="993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9" w:type="dxa"/>
            <w:tcBorders/>
            <w:vAlign w:val="center"/>
          </w:tcPr>
          <w:p>
            <w:pPr>
              <w:pStyle w:val="TableContents"/>
              <w:bidi w:val="0"/>
              <w:spacing w:before="0" w:after="283"/>
              <w:jc w:val="left"/>
              <w:rPr>
                <w:caps w:val="false"/>
                <w:smallCaps w:val="false"/>
              </w:rPr>
            </w:pPr>
            <w:r>
              <w:rPr>
                <w:caps w:val="false"/>
                <w:smallCaps w:val="false"/>
              </w:rPr>
              <w:t> </w:t>
            </w:r>
          </w:p>
        </w:tc>
        <w:tc>
          <w:tcPr>
            <w:tcW w:w="184" w:type="dxa"/>
            <w:tcBorders/>
            <w:vAlign w:val="center"/>
          </w:tcPr>
          <w:p>
            <w:pPr>
              <w:pStyle w:val="TableContents"/>
              <w:bidi w:val="0"/>
              <w:spacing w:before="0" w:after="283"/>
              <w:jc w:val="left"/>
              <w:rPr>
                <w:caps w:val="false"/>
                <w:smallCaps w:val="false"/>
              </w:rPr>
            </w:pPr>
            <w:r>
              <w:rPr>
                <w:caps w:val="false"/>
                <w:smallCaps w:val="false"/>
              </w:rPr>
              <w:t>●</w:t>
            </w:r>
          </w:p>
        </w:tc>
        <w:tc>
          <w:tcPr>
            <w:tcW w:w="99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Indoor and outdoor kids’ furniture, activity trays and tables and room décor, seasonal and outdoor products, including those based on Disney® characters, Nickelodeon® and Hasbro® licenses;</w:t>
            </w:r>
          </w:p>
        </w:tc>
      </w:tr>
      <w:tr>
        <w:trPr/>
        <w:tc>
          <w:tcPr>
            <w:tcW w:w="89" w:type="dxa"/>
            <w:tcBorders/>
            <w:vAlign w:val="center"/>
          </w:tcPr>
          <w:p>
            <w:pPr>
              <w:pStyle w:val="TableContents"/>
              <w:bidi w:val="0"/>
              <w:spacing w:before="0" w:after="283"/>
              <w:jc w:val="left"/>
              <w:rPr>
                <w:caps w:val="false"/>
                <w:smallCaps w:val="false"/>
              </w:rPr>
            </w:pPr>
            <w:r>
              <w:rPr>
                <w:caps w:val="false"/>
                <w:smallCaps w:val="false"/>
              </w:rPr>
              <w:t> </w:t>
            </w:r>
          </w:p>
        </w:tc>
        <w:tc>
          <w:tcPr>
            <w:tcW w:w="184" w:type="dxa"/>
            <w:tcBorders/>
            <w:vAlign w:val="center"/>
          </w:tcPr>
          <w:p>
            <w:pPr>
              <w:pStyle w:val="TableContents"/>
              <w:bidi w:val="0"/>
              <w:spacing w:before="0" w:after="283"/>
              <w:jc w:val="left"/>
              <w:rPr>
                <w:caps w:val="false"/>
                <w:smallCaps w:val="false"/>
              </w:rPr>
            </w:pPr>
            <w:r>
              <w:rPr>
                <w:caps w:val="false"/>
                <w:smallCaps w:val="false"/>
              </w:rPr>
              <w:t> </w:t>
            </w:r>
          </w:p>
        </w:tc>
        <w:tc>
          <w:tcPr>
            <w:tcW w:w="993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9"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84"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9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Halloween and everyday costumes for children and in some cases teens and adults based on licensed and proprietary non-licensed brands, including Super Mario Bros.®, Microsoft’s Halo®, Disney-Pixar Toy Story®, Harry Potter®, Minions®, Sesame Street®, Power Rangers®¸ Pokemon®, Hasbro® brands, Universal’s Wicked® and Disney Frozen®, Disney Princess® and related Halloween accessories; </w:t>
            </w:r>
          </w:p>
        </w:tc>
      </w:tr>
      <w:tr>
        <w:trPr/>
        <w:tc>
          <w:tcPr>
            <w:tcW w:w="89" w:type="dxa"/>
            <w:tcBorders/>
            <w:vAlign w:val="center"/>
          </w:tcPr>
          <w:p>
            <w:pPr>
              <w:pStyle w:val="TableContents"/>
              <w:bidi w:val="0"/>
              <w:spacing w:before="0" w:after="283"/>
              <w:jc w:val="left"/>
              <w:rPr>
                <w:caps w:val="false"/>
                <w:smallCaps w:val="false"/>
              </w:rPr>
            </w:pPr>
            <w:r>
              <w:rPr>
                <w:caps w:val="false"/>
                <w:smallCaps w:val="false"/>
              </w:rPr>
              <w:t> </w:t>
            </w:r>
          </w:p>
        </w:tc>
        <w:tc>
          <w:tcPr>
            <w:tcW w:w="184" w:type="dxa"/>
            <w:tcBorders/>
            <w:vAlign w:val="center"/>
          </w:tcPr>
          <w:p>
            <w:pPr>
              <w:pStyle w:val="TableContents"/>
              <w:bidi w:val="0"/>
              <w:spacing w:before="0" w:after="283"/>
              <w:jc w:val="left"/>
              <w:rPr>
                <w:caps w:val="false"/>
                <w:smallCaps w:val="false"/>
              </w:rPr>
            </w:pPr>
            <w:r>
              <w:rPr>
                <w:caps w:val="false"/>
                <w:smallCaps w:val="false"/>
              </w:rPr>
              <w:t> </w:t>
            </w:r>
          </w:p>
        </w:tc>
        <w:tc>
          <w:tcPr>
            <w:tcW w:w="993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9"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84"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9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Outdoor activity toys including ReDo Skateboard Co.® and junior sports toys including Sky Ball® hyper-charged balls, SportsZone® sport sets and Wave Hoop® toy hoops marketed under our Maui® brand; and </w:t>
            </w:r>
          </w:p>
        </w:tc>
      </w:tr>
      <w:tr>
        <w:trPr/>
        <w:tc>
          <w:tcPr>
            <w:tcW w:w="89" w:type="dxa"/>
            <w:tcBorders/>
            <w:vAlign w:val="center"/>
          </w:tcPr>
          <w:p>
            <w:pPr>
              <w:pStyle w:val="TableContents"/>
              <w:bidi w:val="0"/>
              <w:spacing w:before="0" w:after="283"/>
              <w:jc w:val="left"/>
              <w:rPr>
                <w:caps w:val="false"/>
                <w:smallCaps w:val="false"/>
              </w:rPr>
            </w:pPr>
            <w:r>
              <w:rPr>
                <w:caps w:val="false"/>
                <w:smallCaps w:val="false"/>
              </w:rPr>
              <w:t> </w:t>
            </w:r>
          </w:p>
        </w:tc>
        <w:tc>
          <w:tcPr>
            <w:tcW w:w="184" w:type="dxa"/>
            <w:tcBorders/>
            <w:vAlign w:val="center"/>
          </w:tcPr>
          <w:p>
            <w:pPr>
              <w:pStyle w:val="TableContents"/>
              <w:bidi w:val="0"/>
              <w:spacing w:before="0" w:after="283"/>
              <w:jc w:val="left"/>
              <w:rPr>
                <w:caps w:val="false"/>
                <w:smallCaps w:val="false"/>
              </w:rPr>
            </w:pPr>
            <w:r>
              <w:rPr>
                <w:caps w:val="false"/>
                <w:smallCaps w:val="false"/>
              </w:rPr>
              <w:t> </w:t>
            </w:r>
          </w:p>
        </w:tc>
        <w:tc>
          <w:tcPr>
            <w:tcW w:w="993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9" w:type="dxa"/>
            <w:tcBorders/>
            <w:vAlign w:val="center"/>
          </w:tcPr>
          <w:p>
            <w:pPr>
              <w:pStyle w:val="TableContents"/>
              <w:bidi w:val="0"/>
              <w:spacing w:before="0" w:after="283"/>
              <w:jc w:val="left"/>
              <w:rPr>
                <w:caps w:val="false"/>
                <w:smallCaps w:val="false"/>
              </w:rPr>
            </w:pPr>
            <w:r>
              <w:rPr>
                <w:caps w:val="false"/>
                <w:smallCaps w:val="false"/>
              </w:rPr>
              <w:t> </w:t>
            </w:r>
          </w:p>
        </w:tc>
        <w:tc>
          <w:tcPr>
            <w:tcW w:w="184" w:type="dxa"/>
            <w:tcBorders/>
            <w:vAlign w:val="center"/>
          </w:tcPr>
          <w:p>
            <w:pPr>
              <w:pStyle w:val="TableContents"/>
              <w:bidi w:val="0"/>
              <w:spacing w:before="0" w:after="283"/>
              <w:jc w:val="left"/>
              <w:rPr>
                <w:caps w:val="false"/>
                <w:smallCaps w:val="false"/>
              </w:rPr>
            </w:pPr>
            <w:r>
              <w:rPr>
                <w:caps w:val="false"/>
                <w:smallCaps w:val="false"/>
              </w:rPr>
              <w:t>●</w:t>
            </w:r>
          </w:p>
        </w:tc>
        <w:tc>
          <w:tcPr>
            <w:tcW w:w="99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Board games under the brand JAKKS Wild Games®, including Temple Raider®, K.O. Corral® and Galactic JAXX™.</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w:t>
      </w:r>
    </w:p>
    <w:p>
      <w:pPr>
        <w:pStyle w:val="TextBody"/>
        <w:bidi w:val="0"/>
        <w:spacing w:before="0" w:after="0"/>
        <w:ind w:left="0" w:right="0" w:hanging="0"/>
        <w:jc w:val="left"/>
        <w:rPr/>
      </w:pPr>
      <w:hyperlink w:anchor="toc2_001">
        <w:r>
          <w:rPr>
            <w:rStyle w:val="InternetLink"/>
          </w:rPr>
          <w:t>Table of Contents</w:t>
        </w:r>
      </w:hyperlink>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continually review the marketplace to identify and evaluate popular and evergreen brands and product categories that we believe have the potential for growth. We endeavor to generate growth within these lines by:</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6565" w:type="dxa"/>
        <w:jc w:val="left"/>
        <w:tblInd w:w="0" w:type="dxa"/>
        <w:tblLayout w:type="fixed"/>
        <w:tblCellMar>
          <w:top w:w="0" w:type="dxa"/>
          <w:left w:w="0" w:type="dxa"/>
          <w:bottom w:w="0" w:type="dxa"/>
          <w:right w:w="0" w:type="dxa"/>
        </w:tblCellMar>
      </w:tblPr>
      <w:tblGrid>
        <w:gridCol w:w="75"/>
        <w:gridCol w:w="170"/>
        <w:gridCol w:w="63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creating innovative products under our established licenses and brand names;</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7675" w:type="dxa"/>
        <w:jc w:val="left"/>
        <w:tblInd w:w="0" w:type="dxa"/>
        <w:tblLayout w:type="fixed"/>
        <w:tblCellMar>
          <w:top w:w="0" w:type="dxa"/>
          <w:left w:w="0" w:type="dxa"/>
          <w:bottom w:w="0" w:type="dxa"/>
          <w:right w:w="0" w:type="dxa"/>
        </w:tblCellMar>
      </w:tblPr>
      <w:tblGrid>
        <w:gridCol w:w="75"/>
        <w:gridCol w:w="170"/>
        <w:gridCol w:w="74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adding new items to the branded product lines that we expect will enjoy greater popularity;</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9070" w:type="dxa"/>
        <w:jc w:val="left"/>
        <w:tblInd w:w="0" w:type="dxa"/>
        <w:tblLayout w:type="fixed"/>
        <w:tblCellMar>
          <w:top w:w="0" w:type="dxa"/>
          <w:left w:w="0" w:type="dxa"/>
          <w:bottom w:w="0" w:type="dxa"/>
          <w:right w:w="0" w:type="dxa"/>
        </w:tblCellMar>
      </w:tblPr>
      <w:tblGrid>
        <w:gridCol w:w="75"/>
        <w:gridCol w:w="170"/>
        <w:gridCol w:w="88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infusing innovation and technology when appropriate to make products more appealing to today’s kids; and</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8845" w:type="dxa"/>
        <w:jc w:val="left"/>
        <w:tblInd w:w="0" w:type="dxa"/>
        <w:tblLayout w:type="fixed"/>
        <w:tblCellMar>
          <w:top w:w="0" w:type="dxa"/>
          <w:left w:w="0" w:type="dxa"/>
          <w:bottom w:w="0" w:type="dxa"/>
          <w:right w:w="0" w:type="dxa"/>
        </w:tblCellMar>
      </w:tblPr>
      <w:tblGrid>
        <w:gridCol w:w="75"/>
        <w:gridCol w:w="170"/>
        <w:gridCol w:w="86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6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expanding our international product offering either sold directly to retailers or via third-party distributors.</w:t>
            </w:r>
          </w:p>
        </w:tc>
      </w:tr>
    </w:tbl>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Business Strategy</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In addition to developing our own proprietary brands, properties and marks, licensing popular IP enables us to use these high-profile marks at a lower cost than we would incur if we purchased these marks or funded the development of comparable marks on our own. Beyond the investment profile, we have an appreciation of the challenges and expertise required to break through the noise in a world filled with high-budget, content-centric consumer choices either based on well-known pre-existing IP or the even higher hurdle to launch new IP in the current marketplace. By licensing IP and trademarks from world-class brand owners and content creators, we have access to a far greater range of marks than would be available for purchase. Licensors ultimately are responsible for the franchise management of their IP, and we by extension leverage their related investment in content and promotion, which we hope in turn will create a robust market for our related toy, consumer products and costume product lines. Licensors often also invest resources in engaging our largest customers directly to keep them aware of new initiatives and content to facilitate our sell-in of product. It also helps to credibly assure licensors that we will prioritize their brands, properties and IP rather than explicitly competing with them with a broad range of self-developed content-led offerings. We also license technology developed by unaffiliated inventors and product developers to enhance the design, innovation and functionality of our products.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We sell our products through our in-house sales staff and independent sales representatives to toy and mass-market retail chain stores, department stores, office supply stores, drug and grocery store chains, club stores, value-oriented dollar stores, toy specialty stores and wholesalers. Our two largest customers are Target® and Walmart®, which accounted for 26.6% and 26.1%, respectively, of our net sales in 2025. No other customer accounted for more than 10% of our net sales in 2025.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Corporate Information</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were formed as a Delaware corporation in 1995. Our principal executive offices are located at 2951 28th Street, Santa Monica, California 90405. Our telephone number is (424) 268-9444 and our Internet Website address is www.jakks.com. The contents of our website are not incorporated in or deemed to be a part of this Prospectus.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w:t>
      </w:r>
    </w:p>
    <w:p>
      <w:pPr>
        <w:pStyle w:val="TextBody"/>
        <w:bidi w:val="0"/>
        <w:spacing w:before="0" w:after="0"/>
        <w:ind w:left="0" w:right="0" w:hanging="0"/>
        <w:jc w:val="left"/>
        <w:rPr/>
      </w:pPr>
      <w:hyperlink w:anchor="toc2_001">
        <w:r>
          <w:rPr>
            <w:rStyle w:val="InternetLink"/>
          </w:rPr>
          <w:t>Table of Contents</w:t>
        </w:r>
      </w:hyperlink>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1" w:color="000000"/>
        </w:rPr>
      </w:pPr>
      <w:bookmarkStart w:id="22" w:name="b_003"/>
      <w:bookmarkEnd w:id="22"/>
      <w:r>
        <w:rPr>
          <w:rFonts w:ascii="Times New Roman;Times;Serif" w:hAnsi="Times New Roman;Times;Serif"/>
          <w:b/>
          <w:i w:val="false"/>
          <w:caps w:val="false"/>
          <w:smallCaps w:val="false"/>
          <w:sz w:val="20"/>
          <w:bdr w:val="single" w:sz="8" w:space="1" w:color="000000"/>
        </w:rPr>
        <w:t>THE OFFERING</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664"/>
        <w:gridCol w:w="60"/>
        <w:gridCol w:w="8481"/>
      </w:tblGrid>
      <w:tr>
        <w:trPr/>
        <w:tc>
          <w:tcPr>
            <w:tcW w:w="1664" w:type="dxa"/>
            <w:tcBorders/>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w:t>
            </w:r>
          </w:p>
        </w:tc>
        <w:tc>
          <w:tcPr>
            <w:tcW w:w="60" w:type="dxa"/>
            <w:tcBorders/>
            <w:vAlign w:val="center"/>
          </w:tcPr>
          <w:p>
            <w:pPr>
              <w:pStyle w:val="TableContents"/>
              <w:bidi w:val="0"/>
              <w:spacing w:before="0" w:after="283"/>
              <w:jc w:val="left"/>
              <w:rPr/>
            </w:pPr>
            <w:r>
              <w:rPr/>
              <w:t> </w:t>
            </w:r>
          </w:p>
        </w:tc>
        <w:tc>
          <w:tcPr>
            <w:tcW w:w="8481" w:type="dxa"/>
            <w:tcBorders/>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JAKKS Pacific, Inc.</w:t>
            </w:r>
          </w:p>
        </w:tc>
      </w:tr>
      <w:tr>
        <w:trPr/>
        <w:tc>
          <w:tcPr>
            <w:tcW w:w="166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481"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6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offered by us in this offering</w:t>
            </w:r>
          </w:p>
        </w:tc>
        <w:tc>
          <w:tcPr>
            <w:tcW w:w="60" w:type="dxa"/>
            <w:tcBorders/>
            <w:vAlign w:val="center"/>
          </w:tcPr>
          <w:p>
            <w:pPr>
              <w:pStyle w:val="TableContents"/>
              <w:bidi w:val="0"/>
              <w:spacing w:before="0" w:after="283"/>
              <w:jc w:val="left"/>
              <w:rPr/>
            </w:pPr>
            <w:r>
              <w:rPr/>
              <w:t> </w:t>
            </w:r>
          </w:p>
        </w:tc>
        <w:tc>
          <w:tcPr>
            <w:tcW w:w="8481" w:type="dxa"/>
            <w:tcBorders/>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having an aggregate offering price of up to $75,000,000.</w:t>
            </w:r>
          </w:p>
        </w:tc>
      </w:tr>
      <w:tr>
        <w:trPr/>
        <w:tc>
          <w:tcPr>
            <w:tcW w:w="166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481"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6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Manner of offering</w:t>
            </w:r>
          </w:p>
        </w:tc>
        <w:tc>
          <w:tcPr>
            <w:tcW w:w="60" w:type="dxa"/>
            <w:tcBorders/>
            <w:vAlign w:val="center"/>
          </w:tcPr>
          <w:p>
            <w:pPr>
              <w:pStyle w:val="TableContents"/>
              <w:bidi w:val="0"/>
              <w:spacing w:before="0" w:after="283"/>
              <w:jc w:val="left"/>
              <w:rPr/>
            </w:pPr>
            <w:r>
              <w:rPr/>
              <w:t> </w:t>
            </w:r>
          </w:p>
        </w:tc>
        <w:tc>
          <w:tcPr>
            <w:tcW w:w="8481" w:type="dxa"/>
            <w:tcBorders/>
            <w:vAlign w:val="center"/>
          </w:tcPr>
          <w:p>
            <w:pPr>
              <w:pStyle w:val="TableContents"/>
              <w:bidi w:val="0"/>
              <w:spacing w:before="0" w:after="283"/>
              <w:ind w:left="0" w:right="0" w:hanging="1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At the market offering” that may be made from time to time through our Agent, B. Riley Securities, Inc., as our agent or principal, pursuant to an At Market Issuance Sales Agreement, as amended to date (“sales agreement”). See “Plan of Distribution” on page S-8.</w:t>
            </w:r>
          </w:p>
        </w:tc>
      </w:tr>
      <w:tr>
        <w:trPr/>
        <w:tc>
          <w:tcPr>
            <w:tcW w:w="166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481"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6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proceeds</w:t>
            </w:r>
          </w:p>
        </w:tc>
        <w:tc>
          <w:tcPr>
            <w:tcW w:w="60" w:type="dxa"/>
            <w:tcBorders/>
            <w:vAlign w:val="center"/>
          </w:tcPr>
          <w:p>
            <w:pPr>
              <w:pStyle w:val="TableContents"/>
              <w:bidi w:val="0"/>
              <w:spacing w:before="0" w:after="283"/>
              <w:jc w:val="left"/>
              <w:rPr/>
            </w:pPr>
            <w:r>
              <w:rPr/>
              <w:t> </w:t>
            </w:r>
          </w:p>
        </w:tc>
        <w:tc>
          <w:tcPr>
            <w:tcW w:w="8481" w:type="dxa"/>
            <w:tcBorders/>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intend to use the net proceeds from the sale of our common stock under the sales agreement for business development activities, capital expenditures, repayment of debt, working capital and general corporate purposes. See “Use of Proceeds” beginning on page S-6.</w:t>
            </w:r>
          </w:p>
        </w:tc>
      </w:tr>
      <w:tr>
        <w:trPr/>
        <w:tc>
          <w:tcPr>
            <w:tcW w:w="166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481"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6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factors</w:t>
            </w:r>
          </w:p>
        </w:tc>
        <w:tc>
          <w:tcPr>
            <w:tcW w:w="60" w:type="dxa"/>
            <w:tcBorders/>
            <w:vAlign w:val="center"/>
          </w:tcPr>
          <w:p>
            <w:pPr>
              <w:pStyle w:val="TableContents"/>
              <w:bidi w:val="0"/>
              <w:spacing w:before="0" w:after="283"/>
              <w:jc w:val="left"/>
              <w:rPr/>
            </w:pPr>
            <w:r>
              <w:rPr/>
              <w:t> </w:t>
            </w:r>
          </w:p>
        </w:tc>
        <w:tc>
          <w:tcPr>
            <w:tcW w:w="8481" w:type="dxa"/>
            <w:tcBorders/>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common stock involves a high degree of risk. See “Risk Factors” beginning on page S-5 of this prospectus and in the documents incorporated by reference in this prospectus for a discussion of factors you should carefully consider before deciding to invest in our common stock.</w:t>
            </w:r>
          </w:p>
        </w:tc>
      </w:tr>
      <w:tr>
        <w:trPr/>
        <w:tc>
          <w:tcPr>
            <w:tcW w:w="166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481"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6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Global Select Market symbol</w:t>
            </w:r>
          </w:p>
        </w:tc>
        <w:tc>
          <w:tcPr>
            <w:tcW w:w="60" w:type="dxa"/>
            <w:tcBorders/>
            <w:vAlign w:val="center"/>
          </w:tcPr>
          <w:p>
            <w:pPr>
              <w:pStyle w:val="TableContents"/>
              <w:bidi w:val="0"/>
              <w:spacing w:before="0" w:after="283"/>
              <w:jc w:val="left"/>
              <w:rPr/>
            </w:pPr>
            <w:r>
              <w:rPr/>
              <w:t> </w:t>
            </w:r>
          </w:p>
        </w:tc>
        <w:tc>
          <w:tcPr>
            <w:tcW w:w="84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JAKK</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S-4</w:t>
      </w:r>
    </w:p>
    <w:p>
      <w:pPr>
        <w:pStyle w:val="TextBody"/>
        <w:bidi w:val="0"/>
        <w:spacing w:before="0" w:after="0"/>
        <w:ind w:left="0" w:right="0" w:hanging="0"/>
        <w:jc w:val="left"/>
        <w:rPr/>
      </w:pPr>
      <w:hyperlink w:anchor="toc2_001">
        <w:r>
          <w:rPr>
            <w:rStyle w:val="InternetLink"/>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b_004"/>
      <w:bookmarkEnd w:id="23"/>
      <w:r>
        <w:rPr>
          <w:rFonts w:ascii="Times New Roman;Times;Serif" w:hAnsi="Times New Roman;Times;Serif"/>
          <w:b/>
          <w:i w:val="false"/>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significant risks. Before you invest in our common stock, you should carefully consider, among other matters, the risks and uncertainties described below, as well as the other information contained or incorporated by reference in this prospectus, including our consolidated financial statements and accompanying notes and the information under the heading “Risk Factors” and elsewhere in our most recent annual report on Form 10-K and quarterly reports on Form 10-Q. See “Information Incorporated by Reference.” If any of the risks and uncertainties described in this prospectus or the documents incorporated by reference herein actually occur, our business, financial condition, or results of operations could be adversely affected in a material way. This could cause the trading price of our common stock to decline, perhaps significantly, and you may lose part or all of your investment. Please note that additional risks not presently known to us or that we currently deem immaterial may also impair our business, financial condition and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will experience immediate dilution in the book value per share of the common stock you purchase in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Because the price per share of our common stock being offered is substantially higher than the book value per share of our common stock, you will suffer substantial dilution in the net tangible book value of the common stock you purchase in this offering. Based on the assumed public offering price of $22.72 per share (the closing sale price of our common stock on the Nasdaq Global Select Market on April 20, 2026) and assuming that we sell all $75,000,000 of shares of common stock under this prospectus, and after deducting commissions and estimated aggregate offering expenses payable by us, if you purchase shares of common stock in this offering, you will experience immediate and substantial dilution of $7.96 per share in the net tangible book value of the common stock. See the section titled “Dilution” below for a more detailed discussion of the dilution you will incur if you purchase common stock in this offering.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management may have broad discretion over the use of the net proceeds from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intend to use the net proceeds from the sale of our common stock under the sales agreement for the business development activities, capital expenditures, payment of debt, working capital and corporate purposes. We have not reserved or allocated specific amounts for any of these purposes and we cannot specify with certainty how we will use the net proceeds (See “Use of Proceeds”). Accordingly, our management may have considerable discretion in the application of the net proceeds and you will not have the opportunity, as part of your investment decision, to assess whether the proceeds are being used appropriately. The net proceeds may also be used for corporate purposes that do not increase our operating results or market value. Until the net proceeds are used, they may be placed in investments that do not produce income or that lose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 is not possible to predict the aggregate proceeds resulting from sales made under the sales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limitations in the sales agreement and compliance with applicable law, we have the discretion to deliver a placement notice to the Agent at any time throughout the term of the Sales Agreement. The number of shares that are sold through the Agent after delivering a placement notice will fluctuate based on a number of factors, including the market price of our common stock during the sales period, the limits we set with the Agent in any applicable placement notice, and the demand for our common stock during the sales period. Because the price per share of each share sold will fluctuate during the sales period, it is not currently possible to predict the aggregate proceeds to be raised in connection with those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 xml:space="preserve">The common stock offered hereby will be sold in </w:t>
      </w: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at the market offerings,</w:t>
      </w:r>
      <w:r>
        <w:rPr>
          <w:rFonts w:ascii="Times New Roman;Times;Serif" w:hAnsi="Times New Roman;Times;Serif"/>
          <w:b/>
          <w:i w:val="false"/>
          <w:caps w:val="false"/>
          <w:smallCaps w:val="false"/>
          <w:sz w:val="20"/>
        </w:rPr>
        <w:t xml:space="preserve">” </w:t>
      </w:r>
      <w:r>
        <w:rPr>
          <w:rFonts w:ascii="Times New Roman;Times;Serif" w:hAnsi="Times New Roman;Times;Serif"/>
          <w:b/>
          <w:i/>
          <w:caps w:val="false"/>
          <w:smallCaps w:val="false"/>
          <w:sz w:val="20"/>
        </w:rPr>
        <w:t>and investors who buy shares at different times will likely pay different prices.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who purchase shares in this offering at different times will likely pay different prices, and so may experience different levels of dilution and different outcomes in their investment results. We will have discretion, subject to market demand, to vary the timing, prices, and number of shares sold in this offering. In addition, subject to the final determination by our board of directors, there is no minimum or maximum sales price for shares to be sold in this offering. Investors may experience a decline in the value of the shares they purchase in this offering as a result of sales made at prices lower than the prices they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of our common stock could lower our stock price and dilute existing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 the future, sell additional shares of common stock in subsequent public or private offerings. We cannot predict the size of future issuances of our common stock or the effect, if any, that future sales and issuances of shares of our common stock will have on the market price of our common stock. Sales of substantial amounts of our common stock (including shares issued upon the vesting of Restricted Stock Units), or the perception that such sales could occur, may adversely affect prevailing market prices for our common stock. In addition, these sales may be dilutive to existing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S-5</w:t>
      </w:r>
    </w:p>
    <w:p>
      <w:pPr>
        <w:pStyle w:val="TextBody"/>
        <w:bidi w:val="0"/>
        <w:spacing w:before="0" w:after="0"/>
        <w:ind w:left="0" w:right="0" w:hanging="0"/>
        <w:jc w:val="left"/>
        <w:rPr/>
      </w:pPr>
      <w:hyperlink w:anchor="toc2_001">
        <w:r>
          <w:rPr>
            <w:rStyle w:val="InternetLink"/>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b_005"/>
      <w:bookmarkEnd w:id="24"/>
      <w:r>
        <w:rPr>
          <w:rFonts w:ascii="Times New Roman;Times;Serif" w:hAnsi="Times New Roman;Times;Serif"/>
          <w:b/>
          <w:i w:val="false"/>
          <w:caps w:val="false"/>
          <w:smallCaps w:val="false"/>
          <w:sz w:val="20"/>
        </w:rPr>
        <w:t>SPECIAL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statements in this prospectus and the documents incorporated by reference that are not historical facts should be considered “Forward Looking Statements” within the meaning of the “Safe Harbor” provisions of the Private Securities Litigation Reform Act of 1995. Such statements involve known and unknown risks, uncertainties and other factors that may cause actual results, performance or achievements of the Company to be materially different from any future results, performance or achievements expressed or implied by the forward-looking statements. Some of the forward-looking statements can be identified by the use words such as “believe,” “expect,” “may,” “estimates,” “should,” “seek,” “approximately,” “intend,” “plan,” “estimate,” “project,” “continue” or “anticipates” or similar expressions or words, or the negatives of those expressions or words. These statements may be made directly in this prospectus and they may also be incorporated by reference in this prospectus from other documents filed with the SEC, and include, but are not limited to, statements about future financial and operating results and performance, statements about our plans, objectives, expectations and intentions with respect to future operations, products and services, and other statements that are not historical facts. These forward-looking statements are based upon the current beliefs and expectations of our management and are inherently subject to significant business, economic and competitive uncertainties and contingencies, many of which are difficult to predict and generally beyond our control. In addition, these forward-looking statements are subject to assumptions with respect to future business strategies and decisions that are subject to change. Actual results may differ materially from the anticipated results discussed in these forward-looking statements.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 important factors that could cause actual results to differ materially from our expectations are disclosed under “Risk Factors” and elsewhere in this prospectus. All subsequent written and oral forward-looking statements attributable to us, or persons acting on our behalf, are expressly qualified in their entirety by these cautionary statements. Additional risks, uncertainties, and other factors are incorporated herein by reference to our most recent Annual Report on Form 10-K and our subsequent Quarterly Reports on Form 10-Q, along with the other information contained in this prospectus, as updated by our subsequent filings under the Securities Exchange Act of 1934, as amended, (the “Exchange Act.”) Except as otherwise required by applicable securities laws, we undertake no obligation to publicly update or revise any forward-looking statements, whether as a result of new information, future events, changed circumstances, or any other reason, after the date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b_006"/>
      <w:bookmarkEnd w:id="25"/>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and sell shares of our common stock having aggregate sales proceeds of up to $75.0 million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Because there is no minimum offering amount required as a condition to close this offering, the actual total public offering amount, commissions and proceeds to us, if any, are not determinable at this time. There can be no assurance that we will sell any shares under or fully utilize the Sales Agreement as a source of financing. We estimate that the net proceeds from the sale of the shares of common stock that we are offering may be up to approximately $72,700,000 after deducting the Agent’s commission and estimated offering expenses payable by us, assuming we sell the maximum amount under the sales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set forth in a prospectus supplement or in other offering materials we intend to use the net proceeds from the sale of our securities for general corporate purposes. Pending any of these uses, the net proceeds of a sale will be held in interest-bearing bank accounts or invested in readily marketable, interest-bearing securities. The applicable prospectus supplement will provide more details on the use of proceeds of any specific offering. If any of the net proceeds from the offered securities will be used for acquisitions, we will identify the acquisition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S-6</w:t>
      </w:r>
    </w:p>
    <w:p>
      <w:pPr>
        <w:pStyle w:val="TextBody"/>
        <w:bidi w:val="0"/>
        <w:spacing w:before="0" w:after="0"/>
        <w:ind w:left="0" w:right="0" w:hanging="0"/>
        <w:jc w:val="left"/>
        <w:rPr/>
      </w:pPr>
      <w:hyperlink w:anchor="toc2_001">
        <w:r>
          <w:rPr>
            <w:rStyle w:val="InternetLink"/>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 such uses, we may temporarily invest the net proceeds in short-term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and timing of our actual expenditures will depend on numerous factors, including the factors described under “Risk Factors” in this prospectus and in the documents incorporated by reference herein, as well as the amount of cash used in our operations. We may find it necessary or advisable to use the net proceeds for other purposes and management will have flexibility in applying the net proceeds of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b_007"/>
      <w:bookmarkEnd w:id="26"/>
      <w:r>
        <w:rPr>
          <w:rFonts w:ascii="Times New Roman;Times;Serif" w:hAnsi="Times New Roman;Times;Serif"/>
          <w:b/>
          <w:i w:val="false"/>
          <w:caps w:val="false"/>
          <w:smallCaps w:val="false"/>
          <w:sz w:val="20"/>
        </w:rPr>
        <w:t>DILUTION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invest in our common stock in this offering, your ownership interest will be diluted to the extent of the difference between the public offering price per share and our pro forma net tangible book value per share after this offering. We calculate net tangible book value per share by dividing our net tangible book value, which is tangible assets less total liabilities, by the number of outstanding shares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net tangible book value as of December 31, 2025 was approximately $143.4 million, or $12.64 per share. After giving effect to the sale by us of 3,301,056 shares of common stock offered hereby at the assumed public offering price of $22.72 per share (the closing sale price of our common stock on the Nasdaq Global Select Market on April 20, 2026) and after deducting the sales agent commission and estimated offering expenses payable by us in an aggregate amount of $2,300,000, our pro forma as adjusted net tangible book value as of December 31, 2025 would have been approximately $216.1 million, or $14.76 per share. This represents an immediate increase in as adjusted net tangible book value of $2.12 per share to existing stockholders and an immediate dilution of $7.96 per share to new investors purchasing our common stock in this offering. The following table illustrates the per share dilution to investors purchasing shares of common stock in this offering: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211"/>
        <w:gridCol w:w="102"/>
        <w:gridCol w:w="182"/>
        <w:gridCol w:w="602"/>
        <w:gridCol w:w="102"/>
        <w:gridCol w:w="102"/>
        <w:gridCol w:w="182"/>
        <w:gridCol w:w="602"/>
        <w:gridCol w:w="120"/>
      </w:tblGrid>
      <w:tr>
        <w:trPr/>
        <w:tc>
          <w:tcPr>
            <w:tcW w:w="8211" w:type="dxa"/>
            <w:tcBorders/>
            <w:shd w:fill="CCEEFF" w:val="clear"/>
            <w:vAlign w:val="center"/>
          </w:tcPr>
          <w:p>
            <w:pPr>
              <w:pStyle w:val="TableContents"/>
              <w:bidi w:val="0"/>
              <w:spacing w:before="0" w:after="283"/>
              <w:jc w:val="left"/>
              <w:rPr/>
            </w:pPr>
            <w:r>
              <w:rPr/>
              <w:t xml:space="preserve">Assumed public offering price of common stock </w:t>
            </w:r>
          </w:p>
        </w:tc>
        <w:tc>
          <w:tcPr>
            <w:tcW w:w="102" w:type="dxa"/>
            <w:tcBorders/>
            <w:shd w:fill="CCEEFF" w:val="clear"/>
            <w:vAlign w:val="center"/>
          </w:tcPr>
          <w:p>
            <w:pPr>
              <w:pStyle w:val="TableContents"/>
              <w:bidi w:val="0"/>
              <w:spacing w:before="0" w:after="283"/>
              <w:jc w:val="left"/>
              <w:rPr/>
            </w:pPr>
            <w:r>
              <w:rPr/>
              <w:t xml:space="preserve">  </w:t>
            </w:r>
          </w:p>
        </w:tc>
        <w:tc>
          <w:tcPr>
            <w:tcW w:w="182" w:type="dxa"/>
            <w:tcBorders/>
            <w:shd w:fill="CCEEFF" w:val="clear"/>
            <w:vAlign w:val="center"/>
          </w:tcPr>
          <w:p>
            <w:pPr>
              <w:pStyle w:val="TableContents"/>
              <w:bidi w:val="0"/>
              <w:spacing w:before="0" w:after="283"/>
              <w:jc w:val="left"/>
              <w:rPr/>
            </w:pPr>
            <w:r>
              <w:rPr/>
              <w:t xml:space="preserve">  </w:t>
            </w:r>
          </w:p>
        </w:tc>
        <w:tc>
          <w:tcPr>
            <w:tcW w:w="602" w:type="dxa"/>
            <w:tcBorders/>
            <w:shd w:fill="CCEEFF" w:val="clear"/>
            <w:vAlign w:val="center"/>
          </w:tcPr>
          <w:p>
            <w:pPr>
              <w:pStyle w:val="TableContents"/>
              <w:bidi w:val="0"/>
              <w:spacing w:before="0" w:after="283"/>
              <w:jc w:val="right"/>
              <w:rPr/>
            </w:pPr>
            <w:r>
              <w:rPr/>
              <w:t xml:space="preserve">       </w:t>
            </w:r>
          </w:p>
        </w:tc>
        <w:tc>
          <w:tcPr>
            <w:tcW w:w="102" w:type="dxa"/>
            <w:tcBorders/>
            <w:shd w:fill="CCEEFF" w:val="clear"/>
            <w:vAlign w:val="center"/>
          </w:tcPr>
          <w:p>
            <w:pPr>
              <w:pStyle w:val="TableContents"/>
              <w:bidi w:val="0"/>
              <w:spacing w:before="0" w:after="283"/>
              <w:jc w:val="left"/>
              <w:rPr/>
            </w:pPr>
            <w:r>
              <w:rPr/>
              <w:t xml:space="preserve">  </w:t>
            </w:r>
          </w:p>
        </w:tc>
        <w:tc>
          <w:tcPr>
            <w:tcW w:w="102" w:type="dxa"/>
            <w:tcBorders/>
            <w:shd w:fill="CCEEFF" w:val="clear"/>
            <w:vAlign w:val="center"/>
          </w:tcPr>
          <w:p>
            <w:pPr>
              <w:pStyle w:val="TableContents"/>
              <w:bidi w:val="0"/>
              <w:spacing w:before="0" w:after="283"/>
              <w:jc w:val="left"/>
              <w:rPr/>
            </w:pPr>
            <w:r>
              <w:rPr/>
              <w:t xml:space="preserve">  </w:t>
            </w:r>
          </w:p>
        </w:tc>
        <w:tc>
          <w:tcPr>
            <w:tcW w:w="182" w:type="dxa"/>
            <w:tcBorders/>
            <w:shd w:fill="CCEEFF" w:val="clear"/>
            <w:vAlign w:val="center"/>
          </w:tcPr>
          <w:p>
            <w:pPr>
              <w:pStyle w:val="TableContents"/>
              <w:bidi w:val="0"/>
              <w:spacing w:before="0" w:after="283"/>
              <w:jc w:val="left"/>
              <w:rPr/>
            </w:pPr>
            <w:r>
              <w:rPr/>
              <w:t xml:space="preserve">$ </w:t>
            </w:r>
          </w:p>
        </w:tc>
        <w:tc>
          <w:tcPr>
            <w:tcW w:w="602" w:type="dxa"/>
            <w:tcBorders/>
            <w:shd w:fill="CCEEFF" w:val="clear"/>
            <w:vAlign w:val="center"/>
          </w:tcPr>
          <w:p>
            <w:pPr>
              <w:pStyle w:val="TableContents"/>
              <w:bidi w:val="0"/>
              <w:spacing w:before="0" w:after="283"/>
              <w:jc w:val="right"/>
              <w:rPr/>
            </w:pPr>
            <w:r>
              <w:rPr/>
              <w:t xml:space="preserve">22.72 </w:t>
            </w:r>
          </w:p>
        </w:tc>
        <w:tc>
          <w:tcPr>
            <w:tcW w:w="120" w:type="dxa"/>
            <w:tcBorders/>
            <w:shd w:fill="CCEEFF" w:val="clear"/>
            <w:vAlign w:val="center"/>
          </w:tcPr>
          <w:p>
            <w:pPr>
              <w:pStyle w:val="TableContents"/>
              <w:bidi w:val="0"/>
              <w:spacing w:before="0" w:after="283"/>
              <w:jc w:val="left"/>
              <w:rPr/>
            </w:pPr>
            <w:r>
              <w:rPr/>
              <w:t xml:space="preserve">  </w:t>
            </w:r>
          </w:p>
        </w:tc>
      </w:tr>
      <w:tr>
        <w:trPr/>
        <w:tc>
          <w:tcPr>
            <w:tcW w:w="8211" w:type="dxa"/>
            <w:tcBorders/>
            <w:shd w:fill="FFFFFF" w:val="clear"/>
            <w:vAlign w:val="center"/>
          </w:tcPr>
          <w:p>
            <w:pPr>
              <w:pStyle w:val="TableContents"/>
              <w:bidi w:val="0"/>
              <w:spacing w:before="0" w:after="283"/>
              <w:jc w:val="left"/>
              <w:rPr/>
            </w:pPr>
            <w:r>
              <w:rPr/>
              <w:t xml:space="preserve">Net tangible book value per share as of December 31, 2025 </w:t>
            </w:r>
          </w:p>
        </w:tc>
        <w:tc>
          <w:tcPr>
            <w:tcW w:w="102" w:type="dxa"/>
            <w:tcBorders/>
            <w:shd w:fill="FFFFFF" w:val="clear"/>
            <w:vAlign w:val="center"/>
          </w:tcPr>
          <w:p>
            <w:pPr>
              <w:pStyle w:val="TableContents"/>
              <w:bidi w:val="0"/>
              <w:spacing w:before="0" w:after="283"/>
              <w:jc w:val="left"/>
              <w:rPr/>
            </w:pPr>
            <w:r>
              <w:rPr/>
              <w:t xml:space="preserve">  </w:t>
            </w:r>
          </w:p>
        </w:tc>
        <w:tc>
          <w:tcPr>
            <w:tcW w:w="182" w:type="dxa"/>
            <w:tcBorders/>
            <w:shd w:fill="FFFFFF" w:val="clear"/>
            <w:vAlign w:val="center"/>
          </w:tcPr>
          <w:p>
            <w:pPr>
              <w:pStyle w:val="TableContents"/>
              <w:bidi w:val="0"/>
              <w:spacing w:before="0" w:after="283"/>
              <w:jc w:val="left"/>
              <w:rPr/>
            </w:pPr>
            <w:r>
              <w:rPr/>
              <w:t xml:space="preserve">$ </w:t>
            </w:r>
          </w:p>
        </w:tc>
        <w:tc>
          <w:tcPr>
            <w:tcW w:w="602" w:type="dxa"/>
            <w:tcBorders/>
            <w:shd w:fill="FFFFFF" w:val="clear"/>
            <w:vAlign w:val="center"/>
          </w:tcPr>
          <w:p>
            <w:pPr>
              <w:pStyle w:val="TableContents"/>
              <w:bidi w:val="0"/>
              <w:spacing w:before="0" w:after="283"/>
              <w:jc w:val="right"/>
              <w:rPr/>
            </w:pPr>
            <w:r>
              <w:rPr/>
              <w:t xml:space="preserve">12.64 </w:t>
            </w:r>
          </w:p>
        </w:tc>
        <w:tc>
          <w:tcPr>
            <w:tcW w:w="102" w:type="dxa"/>
            <w:tcBorders/>
            <w:shd w:fill="FFFFFF" w:val="clear"/>
            <w:vAlign w:val="center"/>
          </w:tcPr>
          <w:p>
            <w:pPr>
              <w:pStyle w:val="TableContents"/>
              <w:bidi w:val="0"/>
              <w:spacing w:before="0" w:after="283"/>
              <w:jc w:val="left"/>
              <w:rPr/>
            </w:pPr>
            <w:r>
              <w:rPr/>
              <w:t xml:space="preserve">  </w:t>
            </w:r>
          </w:p>
        </w:tc>
        <w:tc>
          <w:tcPr>
            <w:tcW w:w="102" w:type="dxa"/>
            <w:tcBorders/>
            <w:shd w:fill="FFFFFF" w:val="clear"/>
            <w:vAlign w:val="center"/>
          </w:tcPr>
          <w:p>
            <w:pPr>
              <w:pStyle w:val="TableContents"/>
              <w:bidi w:val="0"/>
              <w:spacing w:before="0" w:after="283"/>
              <w:jc w:val="left"/>
              <w:rPr/>
            </w:pPr>
            <w:r>
              <w:rPr/>
              <w:t xml:space="preserve">  </w:t>
            </w:r>
          </w:p>
        </w:tc>
        <w:tc>
          <w:tcPr>
            <w:tcW w:w="182" w:type="dxa"/>
            <w:tcBorders/>
            <w:shd w:fill="FFFFFF" w:val="clear"/>
            <w:vAlign w:val="center"/>
          </w:tcPr>
          <w:p>
            <w:pPr>
              <w:pStyle w:val="TableContents"/>
              <w:bidi w:val="0"/>
              <w:spacing w:before="0" w:after="283"/>
              <w:jc w:val="left"/>
              <w:rPr/>
            </w:pPr>
            <w:r>
              <w:rPr/>
              <w:t xml:space="preserve">  </w:t>
            </w:r>
          </w:p>
        </w:tc>
        <w:tc>
          <w:tcPr>
            <w:tcW w:w="602" w:type="dxa"/>
            <w:tcBorders/>
            <w:shd w:fill="FFFFFF" w:val="clear"/>
            <w:vAlign w:val="center"/>
          </w:tcPr>
          <w:p>
            <w:pPr>
              <w:pStyle w:val="TableContents"/>
              <w:bidi w:val="0"/>
              <w:spacing w:before="0" w:after="283"/>
              <w:jc w:val="righ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r>
      <w:tr>
        <w:trPr/>
        <w:tc>
          <w:tcPr>
            <w:tcW w:w="8211" w:type="dxa"/>
            <w:tcBorders/>
            <w:shd w:fill="CCEEFF" w:val="clear"/>
            <w:vAlign w:val="center"/>
          </w:tcPr>
          <w:p>
            <w:pPr>
              <w:pStyle w:val="TableContents"/>
              <w:bidi w:val="0"/>
              <w:spacing w:before="0" w:after="283"/>
              <w:jc w:val="left"/>
              <w:rPr/>
            </w:pPr>
            <w:r>
              <w:rPr/>
              <w:t xml:space="preserve">Increase per share in net tangible book value after this offering </w:t>
            </w:r>
          </w:p>
        </w:tc>
        <w:tc>
          <w:tcPr>
            <w:tcW w:w="102" w:type="dxa"/>
            <w:tcBorders/>
            <w:shd w:fill="CCEEFF" w:val="clear"/>
            <w:vAlign w:val="center"/>
          </w:tcPr>
          <w:p>
            <w:pPr>
              <w:pStyle w:val="TableContents"/>
              <w:bidi w:val="0"/>
              <w:spacing w:before="0" w:after="283"/>
              <w:jc w:val="left"/>
              <w:rPr/>
            </w:pPr>
            <w:r>
              <w:rPr/>
              <w:t xml:space="preserve">  </w:t>
            </w:r>
          </w:p>
        </w:tc>
        <w:tc>
          <w:tcPr>
            <w:tcW w:w="182" w:type="dxa"/>
            <w:tcBorders/>
            <w:shd w:fill="CCEEFF" w:val="clear"/>
            <w:vAlign w:val="center"/>
          </w:tcPr>
          <w:p>
            <w:pPr>
              <w:pStyle w:val="TableContents"/>
              <w:bidi w:val="0"/>
              <w:spacing w:before="0" w:after="283"/>
              <w:jc w:val="left"/>
              <w:rPr/>
            </w:pPr>
            <w:r>
              <w:rPr/>
              <w:t xml:space="preserve">$ </w:t>
            </w:r>
          </w:p>
        </w:tc>
        <w:tc>
          <w:tcPr>
            <w:tcW w:w="602" w:type="dxa"/>
            <w:tcBorders/>
            <w:shd w:fill="CCEEFF" w:val="clear"/>
            <w:vAlign w:val="center"/>
          </w:tcPr>
          <w:p>
            <w:pPr>
              <w:pStyle w:val="TableContents"/>
              <w:bidi w:val="0"/>
              <w:spacing w:before="0" w:after="283"/>
              <w:jc w:val="right"/>
              <w:rPr/>
            </w:pPr>
            <w:r>
              <w:rPr/>
              <w:t xml:space="preserve">2.12 </w:t>
            </w:r>
          </w:p>
        </w:tc>
        <w:tc>
          <w:tcPr>
            <w:tcW w:w="102" w:type="dxa"/>
            <w:tcBorders/>
            <w:shd w:fill="CCEEFF" w:val="clear"/>
            <w:vAlign w:val="center"/>
          </w:tcPr>
          <w:p>
            <w:pPr>
              <w:pStyle w:val="TableContents"/>
              <w:bidi w:val="0"/>
              <w:spacing w:before="0" w:after="283"/>
              <w:jc w:val="left"/>
              <w:rPr/>
            </w:pPr>
            <w:r>
              <w:rPr/>
              <w:t xml:space="preserve">  </w:t>
            </w:r>
          </w:p>
        </w:tc>
        <w:tc>
          <w:tcPr>
            <w:tcW w:w="102" w:type="dxa"/>
            <w:tcBorders/>
            <w:shd w:fill="CCEEFF" w:val="clear"/>
            <w:vAlign w:val="center"/>
          </w:tcPr>
          <w:p>
            <w:pPr>
              <w:pStyle w:val="TableContents"/>
              <w:bidi w:val="0"/>
              <w:spacing w:before="0" w:after="283"/>
              <w:jc w:val="left"/>
              <w:rPr/>
            </w:pPr>
            <w:r>
              <w:rPr/>
              <w:t xml:space="preserve">  </w:t>
            </w:r>
          </w:p>
        </w:tc>
        <w:tc>
          <w:tcPr>
            <w:tcW w:w="182" w:type="dxa"/>
            <w:tcBorders/>
            <w:shd w:fill="CCEEFF" w:val="clear"/>
            <w:vAlign w:val="center"/>
          </w:tcPr>
          <w:p>
            <w:pPr>
              <w:pStyle w:val="TableContents"/>
              <w:bidi w:val="0"/>
              <w:spacing w:before="0" w:after="283"/>
              <w:jc w:val="left"/>
              <w:rPr/>
            </w:pPr>
            <w:r>
              <w:rPr/>
              <w:t xml:space="preserve">  </w:t>
            </w:r>
          </w:p>
        </w:tc>
        <w:tc>
          <w:tcPr>
            <w:tcW w:w="602" w:type="dxa"/>
            <w:tcBorders/>
            <w:shd w:fill="CCEEFF" w:val="clear"/>
            <w:vAlign w:val="center"/>
          </w:tcPr>
          <w:p>
            <w:pPr>
              <w:pStyle w:val="TableContents"/>
              <w:bidi w:val="0"/>
              <w:spacing w:before="0" w:after="283"/>
              <w:jc w:val="right"/>
              <w:rPr/>
            </w:pPr>
            <w:r>
              <w:rPr/>
              <w:t xml:space="preserve">  </w:t>
            </w:r>
          </w:p>
        </w:tc>
        <w:tc>
          <w:tcPr>
            <w:tcW w:w="120" w:type="dxa"/>
            <w:tcBorders/>
            <w:shd w:fill="CCEEFF" w:val="clear"/>
            <w:vAlign w:val="center"/>
          </w:tcPr>
          <w:p>
            <w:pPr>
              <w:pStyle w:val="TableContents"/>
              <w:bidi w:val="0"/>
              <w:spacing w:before="0" w:after="283"/>
              <w:ind w:left="0" w:right="0" w:hanging="180"/>
              <w:jc w:val="left"/>
              <w:rPr/>
            </w:pPr>
            <w:r>
              <w:rPr/>
              <w:t xml:space="preserve">  </w:t>
            </w:r>
          </w:p>
        </w:tc>
      </w:tr>
      <w:tr>
        <w:trPr/>
        <w:tc>
          <w:tcPr>
            <w:tcW w:w="8211" w:type="dxa"/>
            <w:tcBorders/>
            <w:shd w:fill="FFFFFF" w:val="clear"/>
            <w:vAlign w:val="center"/>
          </w:tcPr>
          <w:p>
            <w:pPr>
              <w:pStyle w:val="TableContents"/>
              <w:bidi w:val="0"/>
              <w:spacing w:before="0" w:after="283"/>
              <w:jc w:val="left"/>
              <w:rPr/>
            </w:pPr>
            <w:r>
              <w:rPr/>
              <w:t xml:space="preserve">As adjusted net tangible book value per share as of December 31, 2025, after giving effect to this effect to the offering </w:t>
            </w:r>
          </w:p>
        </w:tc>
        <w:tc>
          <w:tcPr>
            <w:tcW w:w="102" w:type="dxa"/>
            <w:tcBorders/>
            <w:shd w:fill="FFFFFF" w:val="clear"/>
            <w:vAlign w:val="center"/>
          </w:tcPr>
          <w:p>
            <w:pPr>
              <w:pStyle w:val="TableContents"/>
              <w:bidi w:val="0"/>
              <w:spacing w:before="0" w:after="283"/>
              <w:jc w:val="left"/>
              <w:rPr/>
            </w:pPr>
            <w:r>
              <w:rPr/>
              <w:t xml:space="preserve">  </w:t>
            </w:r>
          </w:p>
        </w:tc>
        <w:tc>
          <w:tcPr>
            <w:tcW w:w="182" w:type="dxa"/>
            <w:tcBorders/>
            <w:shd w:fill="FFFFFF" w:val="clear"/>
            <w:vAlign w:val="center"/>
          </w:tcPr>
          <w:p>
            <w:pPr>
              <w:pStyle w:val="TableContents"/>
              <w:bidi w:val="0"/>
              <w:spacing w:before="0" w:after="283"/>
              <w:jc w:val="left"/>
              <w:rPr/>
            </w:pPr>
            <w:r>
              <w:rPr/>
              <w:t xml:space="preserve">  </w:t>
            </w:r>
          </w:p>
        </w:tc>
        <w:tc>
          <w:tcPr>
            <w:tcW w:w="602" w:type="dxa"/>
            <w:tcBorders/>
            <w:shd w:fill="FFFFFF" w:val="clear"/>
            <w:vAlign w:val="center"/>
          </w:tcPr>
          <w:p>
            <w:pPr>
              <w:pStyle w:val="TableContents"/>
              <w:bidi w:val="0"/>
              <w:spacing w:before="0" w:after="283"/>
              <w:jc w:val="right"/>
              <w:rPr/>
            </w:pPr>
            <w:r>
              <w:rPr/>
              <w:t xml:space="preserve">  </w:t>
            </w:r>
          </w:p>
        </w:tc>
        <w:tc>
          <w:tcPr>
            <w:tcW w:w="102" w:type="dxa"/>
            <w:tcBorders/>
            <w:shd w:fill="FFFFFF" w:val="clear"/>
            <w:vAlign w:val="center"/>
          </w:tcPr>
          <w:p>
            <w:pPr>
              <w:pStyle w:val="TableContents"/>
              <w:bidi w:val="0"/>
              <w:spacing w:before="0" w:after="283"/>
              <w:jc w:val="left"/>
              <w:rPr/>
            </w:pPr>
            <w:r>
              <w:rPr/>
              <w:t xml:space="preserve">  </w:t>
            </w:r>
          </w:p>
        </w:tc>
        <w:tc>
          <w:tcPr>
            <w:tcW w:w="102" w:type="dxa"/>
            <w:tcBorders/>
            <w:shd w:fill="FFFFFF" w:val="clear"/>
            <w:vAlign w:val="center"/>
          </w:tcPr>
          <w:p>
            <w:pPr>
              <w:pStyle w:val="TableContents"/>
              <w:bidi w:val="0"/>
              <w:spacing w:before="0" w:after="283"/>
              <w:jc w:val="left"/>
              <w:rPr/>
            </w:pPr>
            <w:r>
              <w:rPr/>
              <w:t xml:space="preserve">  </w:t>
            </w:r>
          </w:p>
        </w:tc>
        <w:tc>
          <w:tcPr>
            <w:tcW w:w="182" w:type="dxa"/>
            <w:tcBorders/>
            <w:shd w:fill="FFFFFF" w:val="clear"/>
            <w:vAlign w:val="center"/>
          </w:tcPr>
          <w:p>
            <w:pPr>
              <w:pStyle w:val="TableContents"/>
              <w:bidi w:val="0"/>
              <w:spacing w:before="0" w:after="283"/>
              <w:jc w:val="left"/>
              <w:rPr/>
            </w:pPr>
            <w:r>
              <w:rPr/>
              <w:t xml:space="preserve">  </w:t>
            </w:r>
          </w:p>
        </w:tc>
        <w:tc>
          <w:tcPr>
            <w:tcW w:w="602" w:type="dxa"/>
            <w:tcBorders/>
            <w:shd w:fill="FFFFFF" w:val="clear"/>
            <w:vAlign w:val="center"/>
          </w:tcPr>
          <w:p>
            <w:pPr>
              <w:pStyle w:val="TableContents"/>
              <w:bidi w:val="0"/>
              <w:spacing w:before="0" w:after="283"/>
              <w:jc w:val="right"/>
              <w:rPr/>
            </w:pPr>
            <w:r>
              <w:rPr/>
              <w:t xml:space="preserve">14.76 </w:t>
            </w:r>
          </w:p>
        </w:tc>
        <w:tc>
          <w:tcPr>
            <w:tcW w:w="120" w:type="dxa"/>
            <w:tcBorders/>
            <w:shd w:fill="FFFFFF" w:val="clear"/>
            <w:vAlign w:val="center"/>
          </w:tcPr>
          <w:p>
            <w:pPr>
              <w:pStyle w:val="TableContents"/>
              <w:bidi w:val="0"/>
              <w:spacing w:before="0" w:after="283"/>
              <w:jc w:val="left"/>
              <w:rPr/>
            </w:pPr>
            <w:r>
              <w:rPr/>
              <w:t xml:space="preserve">  </w:t>
            </w:r>
          </w:p>
        </w:tc>
      </w:tr>
      <w:tr>
        <w:trPr/>
        <w:tc>
          <w:tcPr>
            <w:tcW w:w="8211" w:type="dxa"/>
            <w:tcBorders/>
            <w:shd w:fill="CCEEFF" w:val="clear"/>
            <w:vAlign w:val="center"/>
          </w:tcPr>
          <w:p>
            <w:pPr>
              <w:pStyle w:val="TableContents"/>
              <w:bidi w:val="0"/>
              <w:spacing w:before="0" w:after="283"/>
              <w:jc w:val="left"/>
              <w:rPr/>
            </w:pPr>
            <w:r>
              <w:rPr/>
              <w:t xml:space="preserve">Dilution per share to new investors </w:t>
            </w:r>
          </w:p>
        </w:tc>
        <w:tc>
          <w:tcPr>
            <w:tcW w:w="102" w:type="dxa"/>
            <w:tcBorders/>
            <w:shd w:fill="CCEEFF" w:val="clear"/>
            <w:vAlign w:val="center"/>
          </w:tcPr>
          <w:p>
            <w:pPr>
              <w:pStyle w:val="TableContents"/>
              <w:bidi w:val="0"/>
              <w:spacing w:before="0" w:after="283"/>
              <w:jc w:val="left"/>
              <w:rPr/>
            </w:pPr>
            <w:r>
              <w:rPr/>
              <w:t xml:space="preserve">  </w:t>
            </w:r>
          </w:p>
        </w:tc>
        <w:tc>
          <w:tcPr>
            <w:tcW w:w="182" w:type="dxa"/>
            <w:tcBorders/>
            <w:shd w:fill="CCEEFF" w:val="clear"/>
            <w:vAlign w:val="center"/>
          </w:tcPr>
          <w:p>
            <w:pPr>
              <w:pStyle w:val="TableContents"/>
              <w:bidi w:val="0"/>
              <w:spacing w:before="0" w:after="283"/>
              <w:jc w:val="left"/>
              <w:rPr/>
            </w:pPr>
            <w:r>
              <w:rPr/>
              <w:t xml:space="preserve">  </w:t>
            </w:r>
          </w:p>
        </w:tc>
        <w:tc>
          <w:tcPr>
            <w:tcW w:w="602" w:type="dxa"/>
            <w:tcBorders/>
            <w:shd w:fill="CCEEFF" w:val="clear"/>
            <w:vAlign w:val="center"/>
          </w:tcPr>
          <w:p>
            <w:pPr>
              <w:pStyle w:val="TableContents"/>
              <w:bidi w:val="0"/>
              <w:spacing w:before="0" w:after="283"/>
              <w:jc w:val="right"/>
              <w:rPr/>
            </w:pPr>
            <w:r>
              <w:rPr/>
              <w:t xml:space="preserve">  </w:t>
            </w:r>
          </w:p>
        </w:tc>
        <w:tc>
          <w:tcPr>
            <w:tcW w:w="102" w:type="dxa"/>
            <w:tcBorders/>
            <w:shd w:fill="CCEEFF" w:val="clear"/>
            <w:vAlign w:val="center"/>
          </w:tcPr>
          <w:p>
            <w:pPr>
              <w:pStyle w:val="TableContents"/>
              <w:bidi w:val="0"/>
              <w:spacing w:before="0" w:after="283"/>
              <w:jc w:val="left"/>
              <w:rPr/>
            </w:pPr>
            <w:r>
              <w:rPr/>
              <w:t xml:space="preserve">  </w:t>
            </w:r>
          </w:p>
        </w:tc>
        <w:tc>
          <w:tcPr>
            <w:tcW w:w="102" w:type="dxa"/>
            <w:tcBorders/>
            <w:shd w:fill="CCEEFF" w:val="clear"/>
            <w:vAlign w:val="center"/>
          </w:tcPr>
          <w:p>
            <w:pPr>
              <w:pStyle w:val="TableContents"/>
              <w:bidi w:val="0"/>
              <w:spacing w:before="0" w:after="283"/>
              <w:jc w:val="left"/>
              <w:rPr/>
            </w:pPr>
            <w:r>
              <w:rPr/>
              <w:t xml:space="preserve">  </w:t>
            </w:r>
          </w:p>
        </w:tc>
        <w:tc>
          <w:tcPr>
            <w:tcW w:w="182" w:type="dxa"/>
            <w:tcBorders/>
            <w:shd w:fill="CCEEFF" w:val="clear"/>
            <w:vAlign w:val="center"/>
          </w:tcPr>
          <w:p>
            <w:pPr>
              <w:pStyle w:val="TableContents"/>
              <w:bidi w:val="0"/>
              <w:spacing w:before="0" w:after="283"/>
              <w:jc w:val="left"/>
              <w:rPr/>
            </w:pPr>
            <w:r>
              <w:rPr/>
              <w:t xml:space="preserve">$ </w:t>
            </w:r>
          </w:p>
        </w:tc>
        <w:tc>
          <w:tcPr>
            <w:tcW w:w="602" w:type="dxa"/>
            <w:tcBorders/>
            <w:shd w:fill="CCEEFF" w:val="clear"/>
            <w:vAlign w:val="center"/>
          </w:tcPr>
          <w:p>
            <w:pPr>
              <w:pStyle w:val="TableContents"/>
              <w:bidi w:val="0"/>
              <w:spacing w:before="0" w:after="283"/>
              <w:jc w:val="right"/>
              <w:rPr/>
            </w:pPr>
            <w:r>
              <w:rPr/>
              <w:t xml:space="preserve">7.96 </w:t>
            </w:r>
          </w:p>
        </w:tc>
        <w:tc>
          <w:tcPr>
            <w:tcW w:w="120" w:type="dxa"/>
            <w:tcBorders/>
            <w:shd w:fill="CCEEFF" w:val="clear"/>
            <w:vAlign w:val="center"/>
          </w:tcPr>
          <w:p>
            <w:pPr>
              <w:pStyle w:val="TableContents"/>
              <w:bidi w:val="0"/>
              <w:spacing w:before="0" w:after="283"/>
              <w:jc w:val="left"/>
              <w:rPr/>
            </w:pPr>
            <w:r>
              <w:rPr/>
              <w:t xml:space="preserv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table above assumes for illustrative purposes that an aggregate of 3,301,056 shares of our common stock are sold during the term of the sales agreement at a price of $22.72 per share (the closing sale price of our common stock on the Nasdaq Global Select Market on April 20, 2026) for aggregate gross proceeds of approximately $75.0 million. The shares sold in this offering, if any, will be sold from time to time at various prices.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discussed above is illustrative only and may change based on the actual public offering price and other terms of this offering determined at each sale under the sales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above table is based on 11,342,981 shares of common stock issued and outstanding as of December 31, 2025: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5"/>
        <w:gridCol w:w="210"/>
        <w:gridCol w:w="9880"/>
      </w:tblGrid>
      <w:tr>
        <w:trPr/>
        <w:tc>
          <w:tcPr>
            <w:tcW w:w="115"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21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1,229,568 shares of common stock issuable upon the exercise of outstanding unvested Restricted Stock Units issued pursuant to the 2002 Stock Award and Incentive Plan; and </w:t>
            </w:r>
          </w:p>
        </w:tc>
      </w:tr>
      <w:tr>
        <w:trPr/>
        <w:tc>
          <w:tcPr>
            <w:tcW w:w="115" w:type="dxa"/>
            <w:tcBorders/>
            <w:vAlign w:val="center"/>
          </w:tcPr>
          <w:p>
            <w:pPr>
              <w:pStyle w:val="TableContents"/>
              <w:bidi w:val="0"/>
              <w:spacing w:before="0" w:after="283"/>
              <w:jc w:val="left"/>
              <w:rPr>
                <w:caps w:val="false"/>
                <w:smallCaps w:val="false"/>
              </w:rPr>
            </w:pPr>
            <w:r>
              <w:rPr>
                <w:caps w:val="false"/>
                <w:smallCaps w:val="false"/>
              </w:rPr>
              <w:t> </w:t>
            </w:r>
          </w:p>
        </w:tc>
        <w:tc>
          <w:tcPr>
            <w:tcW w:w="210" w:type="dxa"/>
            <w:tcBorders/>
            <w:vAlign w:val="center"/>
          </w:tcPr>
          <w:p>
            <w:pPr>
              <w:pStyle w:val="TableContents"/>
              <w:bidi w:val="0"/>
              <w:spacing w:before="0" w:after="283"/>
              <w:jc w:val="left"/>
              <w:rPr>
                <w:caps w:val="false"/>
                <w:smallCaps w:val="false"/>
              </w:rPr>
            </w:pPr>
            <w:r>
              <w:rPr>
                <w:caps w:val="false"/>
                <w:smallCaps w:val="false"/>
              </w:rPr>
              <w:t> </w:t>
            </w:r>
          </w:p>
        </w:tc>
        <w:tc>
          <w:tcPr>
            <w:tcW w:w="98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5"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21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1,257,576 shares of common stock available for future grants of stock or options under the 2002 Stock Award and Incentive Plan.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the extent that the above issued and unvested Restricted Stock Units vest and the underlying shares of common stock are issued, the pro forma net tangible book value per share of our common stock after giving effect to this offering would be $13.61 per share, and the dilution in net tangible book value per share to purchasers in this offering would be $9.11 per share. In addition, we may choose to raise additional capital due to market conditions or strategic considerations. To the extent that additional capital is raised through the sale of securities, the issuance of those securities could result in further dilution to our stockholders.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S-7</w:t>
      </w:r>
    </w:p>
    <w:p>
      <w:pPr>
        <w:pStyle w:val="TextBody"/>
        <w:bidi w:val="0"/>
        <w:spacing w:before="0" w:after="0"/>
        <w:ind w:left="0" w:right="0" w:hanging="0"/>
        <w:jc w:val="left"/>
        <w:rPr/>
      </w:pPr>
      <w:hyperlink w:anchor="toc2_001">
        <w:r>
          <w:rPr>
            <w:rStyle w:val="InternetLink"/>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b_008"/>
      <w:bookmarkEnd w:id="27"/>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20, 2022, we entered into the At Market Issuance Sales Agreement (the “Original Sales Agreement”), relating to the offer and sale of shares of our Common Stock having an aggregate offering price of up to $75,000,000 from time to time through the Agent, of which $75,000,000 of such shares remain unsold (the “Unsold Securities”), and the Unsold Securities are being offered by this prospectus supplement and the accompanying prospectus. We and the Agent entered into an amendment to the Original Sales Agreement relating to the Unsold Securities, dated the date hereof (the “Sales Agreement”), to update all references to the registration statement to refer to the registration statement to which this prospectus supplement and accompanying prospectus form a part. All other material terms of the Original Sales Agreement remain unchanged. The sales, if any, of the Common Stock made under this prospectus supplement and the accompanying prospectus may be made in transactions that are deemed to be “at-the-market” offerings, as defined in Rule 415 of the Securities Act, including, without limitation, sales made by means of ordinary brokers’ transactions on the Nasdaq Global Select Market, to or through a market maker at market prices prevailing at time of sale, at prices relating to prevailing market prices or at negotiated prices. Under the terms of the Sales Agreement, we may also sell shares to the Agent as principals for its own accounts. </w:t>
      </w:r>
    </w:p>
    <w:p>
      <w:pPr>
        <w:pStyle w:val="TextBody"/>
        <w:bidi w:val="0"/>
        <w:spacing w:before="0" w:after="0"/>
        <w:ind w:left="0" w:right="0" w:firstLine="72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during the term of the Sales Agreement, in connection with the Agent acting as our Agent, the Agent will offer our Common Stock subject to the terms and conditions of the Sales Agreement on a daily basis or as otherwise agreed upon by us and the Agent. We may designate the maximum amount or dollar value of Common Stock to be sold through the Agent on a daily basis and otherwise as we and the Agent agree and the minimum price per share at which such shares may be sold. Subject to the terms and conditions of the Sales Agreement, the Agent will use its commercially reasonable efforts to sell on our behalf the shares of our Common Stock so designated by us. We may instruct the Agent not to sell shares of Common Stock if the sales cannot be affected at or above the price made through the Agent in any such instruction. Shares of our Common Stock sold pursuant to the Sales Agreement will be sold through only the Agent on any given day. We or the Agent may suspend the offering of our Common Stock at any time upon proper notice to the other, and subject to the other conditions contained in the Sales Agreement, upon which the selling period will immediately terminate.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Agent will provide written confirmation to us no later than the opening of the trading day on the Nasdaq Global Select Market on the day following the trading day in which our shares of Common Stock were sold under the Sales Agreement. Each confirmation will include the number of shares sold on that day, the compensation payable by us to the Agent with respect to such sales and the net proceeds to us, with an itemization of the deductions made by the Agent from the gross proceeds that it receives from such sales. We will report at least quarterly the number of shares of Common Stock through the Agent under the Sales Agreement, the net proceeds to us and the aggregate compensation paid by us to the Agent in connection with such sales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for sales of our Common Stock will occur on the first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trading day following the date on which any sales were made in return for payment of the net proceeds to us, unless we agree otherwise with the Agent in connection with a particular transaction. There is no arrangement for funds to be received in an escrow, trust or similar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Common Stock as contemplated by this prospectus supplement will be settled through the facilities of The Depository Trust Company or by such other means as we and the Agent may agree upon. Sales of our Common Stock may also be affected, from time-to-time, in one or more transactions described under the section “Plan of Distribution” in the accompanying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will pay to the Agent, upon each sale of Common Stock pursuant to the Sales Agreement, an aggregate amount of up to 3.0% of the gross proceeds from each such sale. A different amount of compensation may be paid by us when the Agent purchases shares as principal at a price agreed to by us and the Agent. We agreed to reimburse the Agent up to $75,000 for certain expenses incurred in connection with the offering contemplated by the Sales Agreement, and reimburse the Agent up to $5,000 per quarter thereafter in connection with updates at the Representation Dates (as defined in the Sales Agreement). In addition, in connection with the execution of the amendment to the Original Sales Agreement, we have agreed to reimburse the Agent an amount not to exceed $15,000. We estimate that the total expenses of the offering of the Unsold Securities payable by us, excluding commissions or discounts payable or provided to the Agent under the Sales Agreement and our reimbursement of certain expenses of the Agent in connection with this offering, will be approximately $2,300,000.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S-8</w:t>
      </w:r>
    </w:p>
    <w:p>
      <w:pPr>
        <w:pStyle w:val="TextBody"/>
        <w:bidi w:val="0"/>
        <w:spacing w:before="0" w:after="0"/>
        <w:ind w:left="0" w:right="0" w:hanging="0"/>
        <w:jc w:val="left"/>
        <w:rPr/>
      </w:pPr>
      <w:hyperlink w:anchor="toc2_001">
        <w:r>
          <w:rPr>
            <w:rStyle w:val="InternetLink"/>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sell shares of our Common Stock to the Agent as principal for its own account at a price agreed upon at the time of sale. The Agent shall not be under any obligation to purchase our shares on a principal basis pursuant to the Sales Agreement, except as otherwise agreed by the Agent and us, and the terms of such transaction, to the extent required by applicable law, will be described in a separate prospectus supplement or pricing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our Common Stock on our behalf, the Agent will be deemed to be an “underwriter” within the meaning of the Securities Act and the compensation paid to the Agent will be deemed to be underwriting commissions or discounts. We have agreed to indemnify the Agent against certain civil liabilities, including certain liabilities under the Securities Act, or to contribute to payments that the Agent may be required to make because of those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of our Common Stock pursuant to the Sales Agreement will terminate upon the earlier of (1) the sale, pursuant to the Sales Agreement, of all of the shares of Common Stock having an aggregate sale price of $75,000,000 and (2) the termination of the Sales Agreement by either us or the Agent as permitted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their business, the Agent and/or its respective affiliates have in the past provided, and may continue to provide, certain commercial banking, financial advisory, investment banking and other services for us or our affiliates, for which the Agent and/or its affiliates have received and may continue to receive customary fees and commissions. In addition, the Agent has advised that from time to time, the Agent and/or its affiliates have in the past effected, and may continue to effect, transactions for their own account or the account of customers, and have held, and may continue to hold, on behalf of themselves or their customers, long or short positions in our equity securities or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S-9</w:t>
      </w:r>
    </w:p>
    <w:p>
      <w:pPr>
        <w:pStyle w:val="TextBody"/>
        <w:bidi w:val="0"/>
        <w:spacing w:before="0" w:after="0"/>
        <w:ind w:left="0" w:right="0" w:hanging="0"/>
        <w:jc w:val="left"/>
        <w:rPr/>
      </w:pPr>
      <w:hyperlink w:anchor="toc2_001">
        <w:r>
          <w:rPr>
            <w:rStyle w:val="InternetLink"/>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b_009"/>
      <w:bookmarkEnd w:id="28"/>
      <w:r>
        <w:rPr>
          <w:rFonts w:ascii="Times New Roman;Times;Serif" w:hAnsi="Times New Roman;Times;Serif"/>
          <w:b/>
          <w:i w:val="false"/>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securities offered hereby will be passed upon for us by Feder Kaszovitz LLP, New York, New York. B. Riley Securities is being represented in connection with this offering by Morgan, Lewis &amp; Bockius LLP, Palo Alto, California.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b_010"/>
      <w:bookmarkEnd w:id="29"/>
      <w:r>
        <w:rPr>
          <w:rFonts w:ascii="Times New Roman;Times;Serif" w:hAnsi="Times New Roman;Times;Serif"/>
          <w:b/>
          <w:i w:val="false"/>
          <w:caps w:val="false"/>
          <w:smallCaps w:val="false"/>
          <w:sz w:val="20"/>
        </w:rPr>
        <w:t>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consolidated financial statements of JAKKS Pacific, Inc. (the “Company”) as of December 31, 2025 and 2024 and for each of the three years in the period ended December 31, 2025 and management’s assessment of the effectiveness of internal control over financial reporting as of December 31, 2025 incorporated by reference in this Prospectus have been so incorporated in reliance on the reports of BDO USA, P.C., an independent registered public accounting firm, given on the authority of said firm as experts in auditing and accounting.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b_011"/>
      <w:bookmarkEnd w:id="30"/>
      <w:r>
        <w:rPr>
          <w:rFonts w:ascii="Times New Roman;Times;Serif" w:hAnsi="Times New Roman;Times;Serif"/>
          <w:b/>
          <w:i w:val="false"/>
          <w:caps w:val="false"/>
          <w:smallCaps w:val="false"/>
          <w:sz w:val="20"/>
        </w:rPr>
        <w:t>AVAILABLE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informational requirements of the Exchange Act, and file reports, proxy statements and other information with the Securities and Exchange Commission, or the “Commission” or the “SEC.” We have also filed a registration statement on Form S-3 with the Commission. This prospectus, which forms part of the registration statement, does not have all of the information contained in the registration statement. The Commission also maintains a website that contains reports, proxy statements and other information, including the registration statement. The website address is: http://www.sec.gov.</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S-10</w:t>
      </w:r>
    </w:p>
    <w:p>
      <w:pPr>
        <w:pStyle w:val="TextBody"/>
        <w:bidi w:val="0"/>
        <w:spacing w:before="0" w:after="0"/>
        <w:ind w:left="0" w:right="0" w:hanging="0"/>
        <w:jc w:val="left"/>
        <w:rPr/>
      </w:pPr>
      <w:hyperlink w:anchor="toc2_001">
        <w:r>
          <w:rPr>
            <w:rStyle w:val="InternetLink"/>
          </w:rPr>
          <w:t>Table of Contents</w:t>
        </w:r>
      </w:hyperlink>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b_012"/>
      <w:bookmarkEnd w:id="31"/>
      <w:r>
        <w:rPr>
          <w:rFonts w:ascii="Times New Roman;Times;Serif" w:hAnsi="Times New Roman;Times;Serif"/>
          <w:b/>
          <w:i w:val="false"/>
          <w:caps w:val="false"/>
          <w:smallCaps w:val="false"/>
          <w:sz w:val="20"/>
        </w:rPr>
        <w:t>INFORMATION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Commission allows us to “incorporate by reference” into this prospectus the information we file with them. The information we incorporate by reference into this prospectus is an important part of this prospectus. Any statement in a document we have filed with the Commission prior to the date of this prospectus and which is incorporated by reference into this prospectus will be considered to be modified or superseded to the extent a statement contained in the prospectus or any other subsequently filed document that is incorporated by reference into this prospectus modifies or supersedes that statement. The modified or superseded statement will not be considered to be a part of this prospectus, except as modified or superseded.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incorporate by reference into this prospectus the information contained in the following documents, which is considered to be a part of this prospectus (except for portions deemed to be furnished and not filed):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8"/>
        <w:gridCol w:w="193"/>
        <w:gridCol w:w="9914"/>
      </w:tblGrid>
      <w:tr>
        <w:trPr/>
        <w:tc>
          <w:tcPr>
            <w:tcW w:w="98" w:type="dxa"/>
            <w:tcBorders/>
            <w:vAlign w:val="center"/>
          </w:tcPr>
          <w:p>
            <w:pPr>
              <w:pStyle w:val="TableContents"/>
              <w:bidi w:val="0"/>
              <w:spacing w:before="0" w:after="283"/>
              <w:jc w:val="left"/>
              <w:rPr/>
            </w:pPr>
            <w:r>
              <w:rPr/>
              <w:t xml:space="preserve">  </w:t>
            </w:r>
          </w:p>
        </w:tc>
        <w:tc>
          <w:tcPr>
            <w:tcW w:w="193" w:type="dxa"/>
            <w:tcBorders/>
            <w:vAlign w:val="center"/>
          </w:tcPr>
          <w:p>
            <w:pPr>
              <w:pStyle w:val="TableContents"/>
              <w:bidi w:val="0"/>
              <w:spacing w:before="0" w:after="283"/>
              <w:jc w:val="left"/>
              <w:rPr/>
            </w:pPr>
            <w:r>
              <w:rPr/>
              <w:t xml:space="preserve">● </w:t>
            </w:r>
          </w:p>
        </w:tc>
        <w:tc>
          <w:tcPr>
            <w:tcW w:w="9914" w:type="dxa"/>
            <w:tcBorders/>
            <w:vAlign w:val="center"/>
          </w:tcPr>
          <w:p>
            <w:pPr>
              <w:pStyle w:val="TableContents"/>
              <w:bidi w:val="0"/>
              <w:spacing w:before="0" w:after="283"/>
              <w:jc w:val="left"/>
              <w:rPr/>
            </w:pPr>
            <w:r>
              <w:rPr/>
              <w:t xml:space="preserve">Our Annual Report on </w:t>
            </w:r>
            <w:hyperlink r:id="rId5">
              <w:r>
                <w:rPr>
                  <w:rStyle w:val="InternetLink"/>
                </w:rPr>
                <w:t>Form 10-K</w:t>
              </w:r>
            </w:hyperlink>
            <w:r>
              <w:rPr/>
              <w:t xml:space="preserve"> for the fiscal year ended December 31, 2025. </w:t>
            </w:r>
          </w:p>
        </w:tc>
      </w:tr>
      <w:tr>
        <w:trPr/>
        <w:tc>
          <w:tcPr>
            <w:tcW w:w="98"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9914" w:type="dxa"/>
            <w:tcBorders/>
            <w:vAlign w:val="center"/>
          </w:tcPr>
          <w:p>
            <w:pPr>
              <w:pStyle w:val="TableContents"/>
              <w:bidi w:val="0"/>
              <w:spacing w:before="0" w:after="283"/>
              <w:jc w:val="left"/>
              <w:rPr/>
            </w:pPr>
            <w:r>
              <w:rPr/>
              <w:t> </w:t>
            </w:r>
          </w:p>
        </w:tc>
      </w:tr>
      <w:tr>
        <w:trPr/>
        <w:tc>
          <w:tcPr>
            <w:tcW w:w="98" w:type="dxa"/>
            <w:tcBorders/>
            <w:vAlign w:val="center"/>
          </w:tcPr>
          <w:p>
            <w:pPr>
              <w:pStyle w:val="TableContents"/>
              <w:bidi w:val="0"/>
              <w:spacing w:before="0" w:after="283"/>
              <w:jc w:val="left"/>
              <w:rPr/>
            </w:pPr>
            <w:r>
              <w:rPr/>
              <w:t xml:space="preserve">  </w:t>
            </w:r>
          </w:p>
        </w:tc>
        <w:tc>
          <w:tcPr>
            <w:tcW w:w="193" w:type="dxa"/>
            <w:tcBorders/>
            <w:vAlign w:val="center"/>
          </w:tcPr>
          <w:p>
            <w:pPr>
              <w:pStyle w:val="TableContents"/>
              <w:bidi w:val="0"/>
              <w:spacing w:before="0" w:after="283"/>
              <w:jc w:val="left"/>
              <w:rPr/>
            </w:pPr>
            <w:r>
              <w:rPr/>
              <w:t xml:space="preserve">● </w:t>
            </w:r>
          </w:p>
        </w:tc>
        <w:tc>
          <w:tcPr>
            <w:tcW w:w="9914" w:type="dxa"/>
            <w:tcBorders/>
            <w:vAlign w:val="center"/>
          </w:tcPr>
          <w:p>
            <w:pPr>
              <w:pStyle w:val="TableContents"/>
              <w:bidi w:val="0"/>
              <w:spacing w:before="0" w:after="283"/>
              <w:jc w:val="left"/>
              <w:rPr/>
            </w:pPr>
            <w:r>
              <w:rPr/>
              <w:t xml:space="preserve">Our Current Report on </w:t>
            </w:r>
            <w:hyperlink r:id="rId6">
              <w:r>
                <w:rPr>
                  <w:rStyle w:val="InternetLink"/>
                </w:rPr>
                <w:t>Form 8-K</w:t>
              </w:r>
            </w:hyperlink>
            <w:r>
              <w:rPr/>
              <w:t xml:space="preserve"> filed on, March 27, 2026. </w:t>
            </w:r>
          </w:p>
        </w:tc>
      </w:tr>
      <w:tr>
        <w:trPr/>
        <w:tc>
          <w:tcPr>
            <w:tcW w:w="98"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9914" w:type="dxa"/>
            <w:tcBorders/>
            <w:vAlign w:val="center"/>
          </w:tcPr>
          <w:p>
            <w:pPr>
              <w:pStyle w:val="TableContents"/>
              <w:bidi w:val="0"/>
              <w:spacing w:before="0" w:after="283"/>
              <w:jc w:val="left"/>
              <w:rPr/>
            </w:pPr>
            <w:r>
              <w:rPr/>
              <w:t> </w:t>
            </w:r>
          </w:p>
        </w:tc>
      </w:tr>
      <w:tr>
        <w:trPr/>
        <w:tc>
          <w:tcPr>
            <w:tcW w:w="98" w:type="dxa"/>
            <w:tcBorders/>
            <w:vAlign w:val="center"/>
          </w:tcPr>
          <w:p>
            <w:pPr>
              <w:pStyle w:val="TableContents"/>
              <w:bidi w:val="0"/>
              <w:spacing w:before="0" w:after="283"/>
              <w:jc w:val="left"/>
              <w:rPr/>
            </w:pPr>
            <w:r>
              <w:rPr/>
              <w:t xml:space="preserve">  </w:t>
            </w:r>
          </w:p>
        </w:tc>
        <w:tc>
          <w:tcPr>
            <w:tcW w:w="193" w:type="dxa"/>
            <w:tcBorders/>
            <w:vAlign w:val="center"/>
          </w:tcPr>
          <w:p>
            <w:pPr>
              <w:pStyle w:val="TableContents"/>
              <w:bidi w:val="0"/>
              <w:spacing w:before="0" w:after="283"/>
              <w:jc w:val="left"/>
              <w:rPr/>
            </w:pPr>
            <w:r>
              <w:rPr/>
              <w:t xml:space="preserve">● </w:t>
            </w:r>
          </w:p>
        </w:tc>
        <w:tc>
          <w:tcPr>
            <w:tcW w:w="9914" w:type="dxa"/>
            <w:tcBorders/>
            <w:vAlign w:val="center"/>
          </w:tcPr>
          <w:p>
            <w:pPr>
              <w:pStyle w:val="TableContents"/>
              <w:bidi w:val="0"/>
              <w:spacing w:before="0" w:after="283"/>
              <w:jc w:val="left"/>
              <w:rPr/>
            </w:pPr>
            <w:r>
              <w:rPr/>
              <w:t xml:space="preserve">Our Current Report on </w:t>
            </w:r>
            <w:hyperlink r:id="rId7">
              <w:r>
                <w:rPr>
                  <w:rStyle w:val="InternetLink"/>
                </w:rPr>
                <w:t>Form 8-K</w:t>
              </w:r>
            </w:hyperlink>
            <w:r>
              <w:rPr/>
              <w:t xml:space="preserve"> filed on February 20, 2026. </w:t>
            </w:r>
          </w:p>
        </w:tc>
      </w:tr>
      <w:tr>
        <w:trPr/>
        <w:tc>
          <w:tcPr>
            <w:tcW w:w="98"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9914" w:type="dxa"/>
            <w:tcBorders/>
            <w:vAlign w:val="center"/>
          </w:tcPr>
          <w:p>
            <w:pPr>
              <w:pStyle w:val="TableContents"/>
              <w:bidi w:val="0"/>
              <w:spacing w:before="0" w:after="283"/>
              <w:jc w:val="left"/>
              <w:rPr/>
            </w:pPr>
            <w:r>
              <w:rPr/>
              <w:t> </w:t>
            </w:r>
          </w:p>
        </w:tc>
      </w:tr>
      <w:tr>
        <w:trPr/>
        <w:tc>
          <w:tcPr>
            <w:tcW w:w="98"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w:t>
            </w:r>
          </w:p>
        </w:tc>
        <w:tc>
          <w:tcPr>
            <w:tcW w:w="9914" w:type="dxa"/>
            <w:tcBorders/>
            <w:vAlign w:val="center"/>
          </w:tcPr>
          <w:p>
            <w:pPr>
              <w:pStyle w:val="TableContents"/>
              <w:bidi w:val="0"/>
              <w:spacing w:before="0" w:after="283"/>
              <w:jc w:val="left"/>
              <w:rPr/>
            </w:pPr>
            <w:r>
              <w:rPr/>
              <w:t>The description of our common stock contained in our Registration Statement on Form 8-A (File No. 0-28104), filed March 29, 1996, and as incorporated therein by reference to our Registration Statement on Form SB-2 (File No. 333-2048-LA).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documents subsequently filed by us with the SEC under Sections 13(a), 13(c), 14 and 15(d) of the Exchange Act (other than current reports on Form 8-K furnished pursuant to Item 2.02 or Item 7.01 of Form 8-K, including any exhibits included with such information, unless otherwise indicated therein) prior to the termination or completion of the offering made pursuant to this prospectus are also incorporated herein by reference and will automatically update and supersede information contained or incorporated by reference in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each person to whom a copy of this prospectus has been delivered, without charge, upon receipt of a written or oral request, a copy of any of the documents referred to above as being incorporated by reference. You may request a copy by writing or telephoning John L. Kimble, c/o JAKKS Pacific, Inc., 2951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Street, Santa Monica, California, 90405 (telephone: 424-268-9444).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dealer, salesperson, or other person has been authorized to give any information or to make any representation not contained in this prospectus, and, if given or made, such information and representation should not be relied upon as having been authorized by us. This prospectus does not constitute an offer to sell or a solicitation of an offer to buy any of the securities offered by this prospectus in any jurisdiction or to any person to whom it is unlawful to make such offer or solicitation. Neither the delivery of this prospectus nor any sale made hereunder shall under any circumstances create an implication that there has been no change in the facts set forth in this prospectus or in our affairs since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S-11</w:t>
      </w:r>
    </w:p>
    <w:p>
      <w:pPr>
        <w:pStyle w:val="TextBody"/>
        <w:bidi w:val="0"/>
        <w:spacing w:before="0" w:after="0"/>
        <w:ind w:left="0" w:right="0" w:hanging="0"/>
        <w:jc w:val="left"/>
        <w:rPr/>
      </w:pPr>
      <w:hyperlink w:anchor="TableOfContents">
        <w:r>
          <w:rPr>
            <w:rStyle w:val="InternetLink"/>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person is authorized to give any information or to make any representation not contained in this prospectus. You must not rely on any unauthorized representations or information. This prospectus is an offer to sell only the common stock offered hereby, and only under circumstances and in jurisdictions where it is lawful to do so. The information contained in this prospectus is current only as of its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JAKKS PACIFIC,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Up To $75,000,000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RILEY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____________, 2026</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hyperlink w:anchor="TableOfContents">
        <w:r>
          <w:rPr>
            <w:rStyle w:val="InternetLink"/>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Other Expenses of Issuance and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costs and expenses payable by the Registrant in connection with the sale of the securities being registered hereby. All amounts are estimates except the registration fee.</w:t>
      </w:r>
    </w:p>
    <w:p>
      <w:pPr>
        <w:pStyle w:val="TextBody"/>
        <w:bidi w:val="0"/>
        <w:spacing w:before="0" w:after="0"/>
        <w:ind w:left="0" w:right="0" w:firstLine="720"/>
        <w:jc w:val="left"/>
        <w:rPr>
          <w:caps w:val="false"/>
          <w:smallCaps w:val="false"/>
        </w:rPr>
      </w:pPr>
      <w:r>
        <w:rPr>
          <w:caps w:val="false"/>
          <w:smallCaps w:val="false"/>
        </w:rPr>
        <w:t> </w:t>
      </w:r>
    </w:p>
    <w:tbl>
      <w:tblPr>
        <w:tblW w:w="4245" w:type="dxa"/>
        <w:jc w:val="left"/>
        <w:tblInd w:w="0" w:type="dxa"/>
        <w:tblLayout w:type="fixed"/>
        <w:tblCellMar>
          <w:top w:w="0" w:type="dxa"/>
          <w:left w:w="0" w:type="dxa"/>
          <w:bottom w:w="0" w:type="dxa"/>
          <w:right w:w="0" w:type="dxa"/>
        </w:tblCellMar>
      </w:tblPr>
      <w:tblGrid>
        <w:gridCol w:w="3050"/>
        <w:gridCol w:w="120"/>
        <w:gridCol w:w="200"/>
        <w:gridCol w:w="740"/>
        <w:gridCol w:w="135"/>
      </w:tblGrid>
      <w:tr>
        <w:trPr/>
        <w:tc>
          <w:tcPr>
            <w:tcW w:w="3050" w:type="dxa"/>
            <w:tcBorders/>
            <w:shd w:fill="CCEEFF" w:val="clear"/>
            <w:vAlign w:val="center"/>
          </w:tcPr>
          <w:p>
            <w:pPr>
              <w:pStyle w:val="TableContents"/>
              <w:bidi w:val="0"/>
              <w:spacing w:before="0" w:after="283"/>
              <w:jc w:val="left"/>
              <w:rPr/>
            </w:pPr>
            <w:r>
              <w:rPr/>
              <w:t xml:space="preserve">Accountant Fees and Expenses </w:t>
            </w:r>
          </w:p>
        </w:tc>
        <w:tc>
          <w:tcPr>
            <w:tcW w:w="120" w:type="dxa"/>
            <w:tcBorders/>
            <w:shd w:fill="CCEEFF" w:val="clear"/>
            <w:vAlign w:val="center"/>
          </w:tcPr>
          <w:p>
            <w:pPr>
              <w:pStyle w:val="TableContents"/>
              <w:bidi w:val="0"/>
              <w:spacing w:before="0" w:after="283"/>
              <w:jc w:val="left"/>
              <w:rPr/>
            </w:pPr>
            <w:r>
              <w:rPr/>
              <w:t xml:space="preserve">  </w:t>
            </w:r>
          </w:p>
        </w:tc>
        <w:tc>
          <w:tcPr>
            <w:tcW w:w="200" w:type="dxa"/>
            <w:tcBorders/>
            <w:shd w:fill="CCEEFF" w:val="clear"/>
            <w:vAlign w:val="center"/>
          </w:tcPr>
          <w:p>
            <w:pPr>
              <w:pStyle w:val="TableContents"/>
              <w:bidi w:val="0"/>
              <w:spacing w:before="0" w:after="283"/>
              <w:jc w:val="left"/>
              <w:rPr/>
            </w:pPr>
            <w:r>
              <w:rPr/>
              <w:t xml:space="preserve">$ </w:t>
            </w:r>
          </w:p>
        </w:tc>
        <w:tc>
          <w:tcPr>
            <w:tcW w:w="740" w:type="dxa"/>
            <w:tcBorders/>
            <w:shd w:fill="CCEEFF" w:val="clear"/>
            <w:vAlign w:val="center"/>
          </w:tcPr>
          <w:p>
            <w:pPr>
              <w:pStyle w:val="TableContents"/>
              <w:bidi w:val="0"/>
              <w:spacing w:before="0" w:after="283"/>
              <w:jc w:val="right"/>
              <w:rPr/>
            </w:pPr>
            <w:r>
              <w:rPr/>
              <w:t xml:space="preserve">10,000 </w:t>
            </w:r>
          </w:p>
        </w:tc>
        <w:tc>
          <w:tcPr>
            <w:tcW w:w="135" w:type="dxa"/>
            <w:tcBorders/>
            <w:shd w:fill="CCEEFF" w:val="clear"/>
            <w:vAlign w:val="center"/>
          </w:tcPr>
          <w:p>
            <w:pPr>
              <w:pStyle w:val="TableContents"/>
              <w:bidi w:val="0"/>
              <w:spacing w:before="0" w:after="283"/>
              <w:jc w:val="left"/>
              <w:rPr/>
            </w:pPr>
            <w:r>
              <w:rPr/>
              <w:t xml:space="preserve">  </w:t>
            </w:r>
          </w:p>
        </w:tc>
      </w:tr>
      <w:tr>
        <w:trPr/>
        <w:tc>
          <w:tcPr>
            <w:tcW w:w="3050" w:type="dxa"/>
            <w:tcBorders/>
            <w:shd w:fill="FFFFFF" w:val="clear"/>
            <w:vAlign w:val="center"/>
          </w:tcPr>
          <w:p>
            <w:pPr>
              <w:pStyle w:val="TableContents"/>
              <w:bidi w:val="0"/>
              <w:spacing w:before="0" w:after="283"/>
              <w:jc w:val="left"/>
              <w:rPr/>
            </w:pPr>
            <w:r>
              <w:rPr/>
              <w:t xml:space="preserve">SEC Filing Fee </w:t>
            </w:r>
          </w:p>
        </w:tc>
        <w:tc>
          <w:tcPr>
            <w:tcW w:w="120" w:type="dxa"/>
            <w:tcBorders/>
            <w:shd w:fill="FFFFFF" w:val="clear"/>
            <w:vAlign w:val="center"/>
          </w:tcPr>
          <w:p>
            <w:pPr>
              <w:pStyle w:val="TableContents"/>
              <w:bidi w:val="0"/>
              <w:spacing w:before="0" w:after="283"/>
              <w:jc w:val="left"/>
              <w:rPr/>
            </w:pPr>
            <w:r>
              <w:rPr/>
              <w:t xml:space="preserve">  </w:t>
            </w:r>
          </w:p>
        </w:tc>
        <w:tc>
          <w:tcPr>
            <w:tcW w:w="200" w:type="dxa"/>
            <w:tcBorders/>
            <w:shd w:fill="FFFFFF" w:val="clear"/>
            <w:vAlign w:val="center"/>
          </w:tcPr>
          <w:p>
            <w:pPr>
              <w:pStyle w:val="TableContents"/>
              <w:bidi w:val="0"/>
              <w:spacing w:before="0" w:after="283"/>
              <w:jc w:val="left"/>
              <w:rPr/>
            </w:pPr>
            <w:r>
              <w:rPr/>
              <w:t xml:space="preserve">$ </w:t>
            </w:r>
          </w:p>
        </w:tc>
        <w:tc>
          <w:tcPr>
            <w:tcW w:w="740" w:type="dxa"/>
            <w:tcBorders/>
            <w:shd w:fill="FFFFFF" w:val="clear"/>
            <w:vAlign w:val="center"/>
          </w:tcPr>
          <w:p>
            <w:pPr>
              <w:pStyle w:val="TableContents"/>
              <w:bidi w:val="0"/>
              <w:spacing w:before="0" w:after="283"/>
              <w:jc w:val="right"/>
              <w:rPr/>
            </w:pPr>
            <w:r>
              <w:rPr/>
              <w:t xml:space="preserve">7,000 </w:t>
            </w:r>
          </w:p>
        </w:tc>
        <w:tc>
          <w:tcPr>
            <w:tcW w:w="135" w:type="dxa"/>
            <w:tcBorders/>
            <w:shd w:fill="FFFFFF" w:val="clear"/>
            <w:vAlign w:val="center"/>
          </w:tcPr>
          <w:p>
            <w:pPr>
              <w:pStyle w:val="TableContents"/>
              <w:bidi w:val="0"/>
              <w:spacing w:before="0" w:after="283"/>
              <w:jc w:val="left"/>
              <w:rPr/>
            </w:pPr>
            <w:r>
              <w:rPr/>
              <w:t xml:space="preserve">  </w:t>
            </w:r>
          </w:p>
        </w:tc>
      </w:tr>
      <w:tr>
        <w:trPr/>
        <w:tc>
          <w:tcPr>
            <w:tcW w:w="3050" w:type="dxa"/>
            <w:tcBorders/>
            <w:shd w:fill="CCEEFF" w:val="clear"/>
            <w:vAlign w:val="center"/>
          </w:tcPr>
          <w:p>
            <w:pPr>
              <w:pStyle w:val="TableContents"/>
              <w:bidi w:val="0"/>
              <w:spacing w:before="0" w:after="283"/>
              <w:jc w:val="left"/>
              <w:rPr/>
            </w:pPr>
            <w:r>
              <w:rPr/>
              <w:t xml:space="preserve">Legal Fees and Expenses </w:t>
            </w:r>
          </w:p>
        </w:tc>
        <w:tc>
          <w:tcPr>
            <w:tcW w:w="120" w:type="dxa"/>
            <w:tcBorders/>
            <w:shd w:fill="CCEEFF" w:val="clear"/>
            <w:vAlign w:val="center"/>
          </w:tcPr>
          <w:p>
            <w:pPr>
              <w:pStyle w:val="TableContents"/>
              <w:bidi w:val="0"/>
              <w:spacing w:before="0" w:after="283"/>
              <w:jc w:val="left"/>
              <w:rPr/>
            </w:pPr>
            <w:r>
              <w:rPr/>
              <w:t xml:space="preserve">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740" w:type="dxa"/>
            <w:tcBorders>
              <w:bottom w:val="single" w:sz="8" w:space="0" w:color="000000"/>
            </w:tcBorders>
            <w:shd w:fill="CCEEFF" w:val="clear"/>
            <w:tcMar>
              <w:bottom w:w="28" w:type="dxa"/>
            </w:tcMar>
            <w:vAlign w:val="center"/>
          </w:tcPr>
          <w:p>
            <w:pPr>
              <w:pStyle w:val="TableContents"/>
              <w:bidi w:val="0"/>
              <w:spacing w:before="0" w:after="283"/>
              <w:jc w:val="right"/>
              <w:rPr/>
            </w:pPr>
            <w:r>
              <w:rPr/>
              <w:t xml:space="preserve">33,000 </w:t>
            </w:r>
          </w:p>
        </w:tc>
        <w:tc>
          <w:tcPr>
            <w:tcW w:w="135" w:type="dxa"/>
            <w:tcBorders/>
            <w:shd w:fill="CCEEFF" w:val="clear"/>
            <w:vAlign w:val="center"/>
          </w:tcPr>
          <w:p>
            <w:pPr>
              <w:pStyle w:val="TableContents"/>
              <w:bidi w:val="0"/>
              <w:spacing w:before="0" w:after="283"/>
              <w:jc w:val="left"/>
              <w:rPr/>
            </w:pPr>
            <w:r>
              <w:rPr/>
              <w:t xml:space="preserve">  </w:t>
            </w:r>
          </w:p>
        </w:tc>
      </w:tr>
      <w:tr>
        <w:trPr/>
        <w:tc>
          <w:tcPr>
            <w:tcW w:w="3050" w:type="dxa"/>
            <w:tcBorders/>
            <w:shd w:fill="FFFFFF" w:val="clear"/>
            <w:vAlign w:val="center"/>
          </w:tcPr>
          <w:p>
            <w:pPr>
              <w:pStyle w:val="TableContents"/>
              <w:bidi w:val="0"/>
              <w:spacing w:before="0" w:after="283"/>
              <w:jc w:val="left"/>
              <w:rPr/>
            </w:pPr>
            <w:r>
              <w:rPr/>
              <w:t xml:space="preserve">Total (1) </w:t>
            </w:r>
          </w:p>
        </w:tc>
        <w:tc>
          <w:tcPr>
            <w:tcW w:w="120" w:type="dxa"/>
            <w:tcBorders/>
            <w:shd w:fill="FFFFFF" w:val="clear"/>
            <w:vAlign w:val="center"/>
          </w:tcPr>
          <w:p>
            <w:pPr>
              <w:pStyle w:val="TableContents"/>
              <w:bidi w:val="0"/>
              <w:spacing w:before="0" w:after="283"/>
              <w:jc w:val="left"/>
              <w:rPr/>
            </w:pPr>
            <w:r>
              <w:rPr/>
              <w:t xml:space="preserve">  </w:t>
            </w:r>
          </w:p>
        </w:tc>
        <w:tc>
          <w:tcPr>
            <w:tcW w:w="200" w:type="dxa"/>
            <w:tcBorders>
              <w:bottom w:val="double" w:sz="6" w:space="0" w:color="000000"/>
            </w:tcBorders>
            <w:shd w:fill="FFFFFF" w:val="clear"/>
            <w:tcMar>
              <w:bottom w:w="28" w:type="dxa"/>
            </w:tcMar>
            <w:vAlign w:val="center"/>
          </w:tcPr>
          <w:p>
            <w:pPr>
              <w:pStyle w:val="TableContents"/>
              <w:bidi w:val="0"/>
              <w:spacing w:before="0" w:after="283"/>
              <w:jc w:val="left"/>
              <w:rPr/>
            </w:pPr>
            <w:r>
              <w:rPr/>
              <w:t xml:space="preserve">$ </w:t>
            </w:r>
          </w:p>
        </w:tc>
        <w:tc>
          <w:tcPr>
            <w:tcW w:w="740" w:type="dxa"/>
            <w:tcBorders>
              <w:bottom w:val="double" w:sz="6" w:space="0" w:color="000000"/>
            </w:tcBorders>
            <w:shd w:fill="FFFFFF" w:val="clear"/>
            <w:tcMar>
              <w:bottom w:w="28" w:type="dxa"/>
            </w:tcMar>
            <w:vAlign w:val="center"/>
          </w:tcPr>
          <w:p>
            <w:pPr>
              <w:pStyle w:val="TableContents"/>
              <w:bidi w:val="0"/>
              <w:spacing w:before="0" w:after="283"/>
              <w:jc w:val="right"/>
              <w:rPr/>
            </w:pPr>
            <w:r>
              <w:rPr/>
              <w:t xml:space="preserve">50,000 </w:t>
            </w:r>
          </w:p>
        </w:tc>
        <w:tc>
          <w:tcPr>
            <w:tcW w:w="135" w:type="dxa"/>
            <w:tcBorders/>
            <w:shd w:fill="FFFFFF" w:val="clear"/>
            <w:vAlign w:val="center"/>
          </w:tcPr>
          <w:p>
            <w:pPr>
              <w:pStyle w:val="TableContents"/>
              <w:bidi w:val="0"/>
              <w:spacing w:before="0" w:after="283"/>
              <w:jc w:val="left"/>
              <w:rPr/>
            </w:pPr>
            <w:r>
              <w:rPr/>
              <w:t xml:space="preserve">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93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Estimated expenses are not presently known. The foregoing sets forth the general categories of expenses (other than underwriting discounts and commissions) that we anticipate we will incur in connection with the offering of securities under this registration statement on Form S-3. An estimate of the aggregate expenses in connection with the issuance and distribution of the securities being offered will be included in the applicable prospectus supplement.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Indemnification of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provides that the personal liability of our directors shall be limited to the fullest extent permitted by the provisions of Section 102(b)(7) of the General Corporation Law of the State of Delaware (“DGCL”). Section 102(b)(7) of the DGCL generally provides that no director shall be liable personally to a company or its security holders for monetary damages for breach of fiduciary duty as a director, provided that the certificate of incorporation does not eliminate the liability of a director for (1) any breach of the director’s duty of loyalty to it or its security holders; (2) acts or omissions not in good faith or that involve intentional misconduct or a knowing violation of law; (3) acts or omissions in respect of certain unlawful dividend payments or stock redemptions or repurchases; or (4) any transaction from which such director derives an improper personal benefit. The effect of this provision is to eliminate the rights of a company and its security holders to recover monetary damages against a director for breach of her or his fiduciary duty of care as a director (including breaches resulting from negligent or grossly negligent behavior) except in the situations described in clauses (1) through (4) above. The limitations summarized above, however, do not affect the ability of a company or its security holders to seek non-monetary remedies, such as an injunction or rescission, against a director for breach of her or his fiduciary duty.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certificate of incorporation provides that we shall, to the fullest extent permitted by Section 145 of the DGCL, indemnify all persons whom it may indemnify pursuant to Section 145 of the DGCL. In general, Section 145 of the DGCL permits us to indemnify our directors, officers, employees or agents or, when so serving at our request, as directors, officers, agents or employees of another company, who was or is a party or is threatened to be made a party to any proceeding because of his or her position, if he or she acted in good faith and in a manner reasonably believed to be in or not opposed to our best interests and, with respect to any criminal action or proceeding, had no reasonable cause to believe his or her conduct was unlawful.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directors’ and officers’ liability insurance policy covering certain liabilities that may be incurred by any director or officer in connection with the performance of his or her duties and certain liabilities that we may incur, including the indemnification payable to any director or officer. This policy provides for $60.0 million in maximum aggregate coverage, including defense costs. We pay the entire premium for such 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ind w:left="0" w:right="0" w:hanging="0"/>
        <w:jc w:val="left"/>
        <w:rPr/>
      </w:pPr>
      <w:hyperlink w:anchor="TableOfContents">
        <w:r>
          <w:rPr>
            <w:rStyle w:val="InternetLink"/>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or incorporated by reference as part of this Registration Statement.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41"/>
        <w:gridCol w:w="104"/>
        <w:gridCol w:w="9160"/>
      </w:tblGrid>
      <w:tr>
        <w:trPr/>
        <w:tc>
          <w:tcPr>
            <w:tcW w:w="941"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 </w:t>
            </w:r>
          </w:p>
        </w:tc>
        <w:tc>
          <w:tcPr>
            <w:tcW w:w="104" w:type="dxa"/>
            <w:tcBorders/>
            <w:tcMar>
              <w:bottom w:w="0" w:type="dxa"/>
            </w:tcMar>
            <w:vAlign w:val="center"/>
          </w:tcPr>
          <w:p>
            <w:pPr>
              <w:pStyle w:val="TableContents"/>
              <w:bidi w:val="0"/>
              <w:spacing w:before="0" w:after="283"/>
              <w:jc w:val="left"/>
              <w:rPr/>
            </w:pPr>
            <w:r>
              <w:rPr/>
              <w:t> </w:t>
            </w:r>
          </w:p>
        </w:tc>
        <w:tc>
          <w:tcPr>
            <w:tcW w:w="916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4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 w:type="dxa"/>
            <w:tcBorders/>
            <w:tcMar>
              <w:bottom w:w="0" w:type="dxa"/>
            </w:tcMar>
            <w:vAlign w:val="center"/>
          </w:tcPr>
          <w:p>
            <w:pPr>
              <w:pStyle w:val="TableContents"/>
              <w:bidi w:val="0"/>
              <w:spacing w:before="0" w:after="283"/>
              <w:jc w:val="left"/>
              <w:rPr/>
            </w:pPr>
            <w:r>
              <w:rPr/>
              <w:t> </w:t>
            </w:r>
          </w:p>
        </w:tc>
        <w:tc>
          <w:tcPr>
            <w:tcW w:w="91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4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104" w:type="dxa"/>
            <w:tcBorders/>
            <w:tcMar>
              <w:bottom w:w="0" w:type="dxa"/>
            </w:tcMar>
            <w:vAlign w:val="center"/>
          </w:tcPr>
          <w:p>
            <w:pPr>
              <w:pStyle w:val="TableContents"/>
              <w:bidi w:val="0"/>
              <w:spacing w:before="0" w:after="283"/>
              <w:jc w:val="left"/>
              <w:rPr/>
            </w:pPr>
            <w:r>
              <w:rPr/>
              <w:t> </w:t>
            </w:r>
          </w:p>
        </w:tc>
        <w:tc>
          <w:tcPr>
            <w:tcW w:w="9160" w:type="dxa"/>
            <w:tcBorders/>
            <w:tcMar>
              <w:bottom w:w="0" w:type="dxa"/>
            </w:tcMar>
            <w:vAlign w:val="center"/>
          </w:tcPr>
          <w:p>
            <w:pPr>
              <w:pStyle w:val="TableContents"/>
              <w:bidi w:val="0"/>
              <w:spacing w:before="0" w:after="283"/>
              <w:jc w:val="left"/>
              <w:rPr/>
            </w:pPr>
            <w:hyperlink r:id="rId8">
              <w:r>
                <w:rPr>
                  <w:rStyle w:val="InternetLink"/>
                  <w:rFonts w:ascii="Times New Roman;Times;Serif" w:hAnsi="Times New Roman;Times;Serif"/>
                  <w:b w:val="false"/>
                  <w:i w:val="false"/>
                  <w:caps w:val="false"/>
                  <w:smallCaps w:val="false"/>
                  <w:sz w:val="20"/>
                </w:rPr>
                <w:t>At Market Issuance Sales Agreement between Registrant and B. Riley Securities, Inc. dated October 20, 2022</w:t>
              </w:r>
            </w:hyperlink>
          </w:p>
        </w:tc>
      </w:tr>
      <w:tr>
        <w:trPr/>
        <w:tc>
          <w:tcPr>
            <w:tcW w:w="94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104" w:type="dxa"/>
            <w:tcBorders/>
            <w:tcMar>
              <w:bottom w:w="0" w:type="dxa"/>
            </w:tcMar>
            <w:vAlign w:val="center"/>
          </w:tcPr>
          <w:p>
            <w:pPr>
              <w:pStyle w:val="TableContents"/>
              <w:bidi w:val="0"/>
              <w:spacing w:before="0" w:after="283"/>
              <w:jc w:val="left"/>
              <w:rPr/>
            </w:pPr>
            <w:r>
              <w:rPr/>
              <w:t> </w:t>
            </w:r>
          </w:p>
        </w:tc>
        <w:tc>
          <w:tcPr>
            <w:tcW w:w="9160" w:type="dxa"/>
            <w:tcBorders/>
            <w:tcMar>
              <w:bottom w:w="0" w:type="dxa"/>
            </w:tcMar>
            <w:vAlign w:val="center"/>
          </w:tcPr>
          <w:p>
            <w:pPr>
              <w:pStyle w:val="TableContents"/>
              <w:bidi w:val="0"/>
              <w:spacing w:before="0" w:after="283"/>
              <w:jc w:val="left"/>
              <w:rPr/>
            </w:pPr>
            <w:hyperlink w:anchor="jakkex1-1i.htm">
              <w:r>
                <w:rPr>
                  <w:rStyle w:val="InternetLink"/>
                  <w:rFonts w:ascii="Times New Roman;Times;Serif" w:hAnsi="Times New Roman;Times;Serif"/>
                  <w:b w:val="false"/>
                  <w:i w:val="false"/>
                  <w:caps w:val="false"/>
                  <w:smallCaps w:val="false"/>
                  <w:sz w:val="20"/>
                </w:rPr>
                <w:t>Amendment No. 1 to At Market Issuance Sales Agreement between Registrant and B. Riley Securities, Inc. dated April 28, 2026</w:t>
              </w:r>
            </w:hyperlink>
          </w:p>
        </w:tc>
      </w:tr>
      <w:tr>
        <w:trPr/>
        <w:tc>
          <w:tcPr>
            <w:tcW w:w="94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104" w:type="dxa"/>
            <w:tcBorders/>
            <w:tcMar>
              <w:bottom w:w="0" w:type="dxa"/>
            </w:tcMar>
            <w:vAlign w:val="center"/>
          </w:tcPr>
          <w:p>
            <w:pPr>
              <w:pStyle w:val="TableContents"/>
              <w:bidi w:val="0"/>
              <w:spacing w:before="0" w:after="283"/>
              <w:jc w:val="left"/>
              <w:rPr/>
            </w:pPr>
            <w:r>
              <w:rPr/>
              <w:t> </w:t>
            </w:r>
          </w:p>
        </w:tc>
        <w:tc>
          <w:tcPr>
            <w:tcW w:w="91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Underwriting Agreement for the securities offered hereby</w:t>
            </w:r>
          </w:p>
        </w:tc>
      </w:tr>
      <w:tr>
        <w:trPr/>
        <w:tc>
          <w:tcPr>
            <w:tcW w:w="94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104" w:type="dxa"/>
            <w:tcBorders/>
            <w:tcMar>
              <w:bottom w:w="0" w:type="dxa"/>
            </w:tcMar>
            <w:vAlign w:val="center"/>
          </w:tcPr>
          <w:p>
            <w:pPr>
              <w:pStyle w:val="TableContents"/>
              <w:bidi w:val="0"/>
              <w:spacing w:before="0" w:after="283"/>
              <w:jc w:val="left"/>
              <w:rPr/>
            </w:pPr>
            <w:r>
              <w:rPr/>
              <w:t> </w:t>
            </w:r>
          </w:p>
        </w:tc>
        <w:tc>
          <w:tcPr>
            <w:tcW w:w="91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Specimen Preferred Stock Certificate</w:t>
            </w:r>
          </w:p>
        </w:tc>
      </w:tr>
      <w:tr>
        <w:trPr/>
        <w:tc>
          <w:tcPr>
            <w:tcW w:w="94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104" w:type="dxa"/>
            <w:tcBorders/>
            <w:tcMar>
              <w:bottom w:w="0" w:type="dxa"/>
            </w:tcMar>
            <w:vAlign w:val="center"/>
          </w:tcPr>
          <w:p>
            <w:pPr>
              <w:pStyle w:val="TableContents"/>
              <w:bidi w:val="0"/>
              <w:spacing w:before="0" w:after="283"/>
              <w:jc w:val="left"/>
              <w:rPr/>
            </w:pPr>
            <w:r>
              <w:rPr/>
              <w:t> </w:t>
            </w:r>
          </w:p>
        </w:tc>
        <w:tc>
          <w:tcPr>
            <w:tcW w:w="9160" w:type="dxa"/>
            <w:tcBorders/>
            <w:tcMar>
              <w:bottom w:w="0" w:type="dxa"/>
            </w:tcMar>
            <w:vAlign w:val="center"/>
          </w:tcPr>
          <w:p>
            <w:pPr>
              <w:pStyle w:val="TableContents"/>
              <w:bidi w:val="0"/>
              <w:spacing w:before="0" w:after="283"/>
              <w:jc w:val="left"/>
              <w:rPr/>
            </w:pPr>
            <w:hyperlink r:id="rId9">
              <w:r>
                <w:rPr>
                  <w:rStyle w:val="InternetLink"/>
                  <w:rFonts w:ascii="Times New Roman;Times;Serif" w:hAnsi="Times New Roman;Times;Serif"/>
                  <w:b w:val="false"/>
                  <w:i w:val="false"/>
                  <w:caps w:val="false"/>
                  <w:smallCaps w:val="false"/>
                  <w:strike w:val="false"/>
                  <w:dstrike w:val="false"/>
                  <w:sz w:val="20"/>
                  <w:u w:val="none"/>
                  <w:effect w:val="none"/>
                </w:rPr>
                <w:t>Form of Indenture</w:t>
              </w:r>
            </w:hyperlink>
          </w:p>
        </w:tc>
      </w:tr>
      <w:tr>
        <w:trPr/>
        <w:tc>
          <w:tcPr>
            <w:tcW w:w="94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104" w:type="dxa"/>
            <w:tcBorders/>
            <w:tcMar>
              <w:bottom w:w="0" w:type="dxa"/>
            </w:tcMar>
            <w:vAlign w:val="center"/>
          </w:tcPr>
          <w:p>
            <w:pPr>
              <w:pStyle w:val="TableContents"/>
              <w:bidi w:val="0"/>
              <w:spacing w:before="0" w:after="283"/>
              <w:jc w:val="left"/>
              <w:rPr/>
            </w:pPr>
            <w:r>
              <w:rPr/>
              <w:t> </w:t>
            </w:r>
          </w:p>
        </w:tc>
        <w:tc>
          <w:tcPr>
            <w:tcW w:w="91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Debt Security</w:t>
            </w:r>
          </w:p>
        </w:tc>
      </w:tr>
      <w:tr>
        <w:trPr/>
        <w:tc>
          <w:tcPr>
            <w:tcW w:w="94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104" w:type="dxa"/>
            <w:tcBorders/>
            <w:tcMar>
              <w:bottom w:w="0" w:type="dxa"/>
            </w:tcMar>
            <w:vAlign w:val="center"/>
          </w:tcPr>
          <w:p>
            <w:pPr>
              <w:pStyle w:val="TableContents"/>
              <w:bidi w:val="0"/>
              <w:spacing w:before="0" w:after="283"/>
              <w:jc w:val="left"/>
              <w:rPr/>
            </w:pPr>
            <w:r>
              <w:rPr/>
              <w:t> </w:t>
            </w:r>
          </w:p>
        </w:tc>
        <w:tc>
          <w:tcPr>
            <w:tcW w:w="91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Warrant Agreement</w:t>
            </w:r>
          </w:p>
        </w:tc>
      </w:tr>
      <w:tr>
        <w:trPr/>
        <w:tc>
          <w:tcPr>
            <w:tcW w:w="94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104" w:type="dxa"/>
            <w:tcBorders/>
            <w:tcMar>
              <w:bottom w:w="0" w:type="dxa"/>
            </w:tcMar>
            <w:vAlign w:val="center"/>
          </w:tcPr>
          <w:p>
            <w:pPr>
              <w:pStyle w:val="TableContents"/>
              <w:bidi w:val="0"/>
              <w:spacing w:before="0" w:after="283"/>
              <w:jc w:val="left"/>
              <w:rPr/>
            </w:pPr>
            <w:r>
              <w:rPr/>
              <w:t> </w:t>
            </w:r>
          </w:p>
        </w:tc>
        <w:tc>
          <w:tcPr>
            <w:tcW w:w="91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Warrant Certificate</w:t>
            </w:r>
          </w:p>
        </w:tc>
      </w:tr>
      <w:tr>
        <w:trPr/>
        <w:tc>
          <w:tcPr>
            <w:tcW w:w="94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104" w:type="dxa"/>
            <w:tcBorders/>
            <w:tcMar>
              <w:bottom w:w="0" w:type="dxa"/>
            </w:tcMar>
            <w:vAlign w:val="center"/>
          </w:tcPr>
          <w:p>
            <w:pPr>
              <w:pStyle w:val="TableContents"/>
              <w:bidi w:val="0"/>
              <w:spacing w:before="0" w:after="283"/>
              <w:jc w:val="left"/>
              <w:rPr/>
            </w:pPr>
            <w:r>
              <w:rPr/>
              <w:t> </w:t>
            </w:r>
          </w:p>
        </w:tc>
        <w:tc>
          <w:tcPr>
            <w:tcW w:w="91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Rights Agreement</w:t>
            </w:r>
          </w:p>
        </w:tc>
      </w:tr>
      <w:tr>
        <w:trPr/>
        <w:tc>
          <w:tcPr>
            <w:tcW w:w="94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104" w:type="dxa"/>
            <w:tcBorders/>
            <w:tcMar>
              <w:bottom w:w="0" w:type="dxa"/>
            </w:tcMar>
            <w:vAlign w:val="center"/>
          </w:tcPr>
          <w:p>
            <w:pPr>
              <w:pStyle w:val="TableContents"/>
              <w:bidi w:val="0"/>
              <w:spacing w:before="0" w:after="283"/>
              <w:jc w:val="left"/>
              <w:rPr/>
            </w:pPr>
            <w:r>
              <w:rPr/>
              <w:t> </w:t>
            </w:r>
          </w:p>
        </w:tc>
        <w:tc>
          <w:tcPr>
            <w:tcW w:w="91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Rights Certificate</w:t>
            </w:r>
          </w:p>
        </w:tc>
      </w:tr>
      <w:tr>
        <w:trPr/>
        <w:tc>
          <w:tcPr>
            <w:tcW w:w="94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104" w:type="dxa"/>
            <w:tcBorders/>
            <w:tcMar>
              <w:bottom w:w="0" w:type="dxa"/>
            </w:tcMar>
            <w:vAlign w:val="center"/>
          </w:tcPr>
          <w:p>
            <w:pPr>
              <w:pStyle w:val="TableContents"/>
              <w:bidi w:val="0"/>
              <w:spacing w:before="0" w:after="283"/>
              <w:jc w:val="left"/>
              <w:rPr/>
            </w:pPr>
            <w:r>
              <w:rPr/>
              <w:t> </w:t>
            </w:r>
          </w:p>
        </w:tc>
        <w:tc>
          <w:tcPr>
            <w:tcW w:w="91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Unit Agreement</w:t>
            </w:r>
          </w:p>
        </w:tc>
      </w:tr>
      <w:tr>
        <w:trPr/>
        <w:tc>
          <w:tcPr>
            <w:tcW w:w="94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p>
        </w:tc>
        <w:tc>
          <w:tcPr>
            <w:tcW w:w="104" w:type="dxa"/>
            <w:tcBorders/>
            <w:tcMar>
              <w:bottom w:w="0" w:type="dxa"/>
            </w:tcMar>
            <w:vAlign w:val="center"/>
          </w:tcPr>
          <w:p>
            <w:pPr>
              <w:pStyle w:val="TableContents"/>
              <w:bidi w:val="0"/>
              <w:spacing w:before="0" w:after="283"/>
              <w:jc w:val="left"/>
              <w:rPr/>
            </w:pPr>
            <w:r>
              <w:rPr/>
              <w:t xml:space="preserve">  </w:t>
            </w:r>
          </w:p>
        </w:tc>
        <w:tc>
          <w:tcPr>
            <w:tcW w:w="91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Opinion of Feder Kaszovitz LLP. </w:t>
            </w:r>
          </w:p>
        </w:tc>
      </w:tr>
      <w:tr>
        <w:trPr/>
        <w:tc>
          <w:tcPr>
            <w:tcW w:w="94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104" w:type="dxa"/>
            <w:tcBorders/>
            <w:tcMar>
              <w:bottom w:w="0" w:type="dxa"/>
            </w:tcMar>
            <w:vAlign w:val="center"/>
          </w:tcPr>
          <w:p>
            <w:pPr>
              <w:pStyle w:val="TableContents"/>
              <w:bidi w:val="0"/>
              <w:spacing w:before="0" w:after="283"/>
              <w:jc w:val="left"/>
              <w:rPr/>
            </w:pPr>
            <w:r>
              <w:rPr/>
              <w:t> </w:t>
            </w:r>
          </w:p>
        </w:tc>
        <w:tc>
          <w:tcPr>
            <w:tcW w:w="9160" w:type="dxa"/>
            <w:tcBorders/>
            <w:tcMar>
              <w:bottom w:w="0" w:type="dxa"/>
            </w:tcMar>
            <w:vAlign w:val="center"/>
          </w:tcPr>
          <w:p>
            <w:pPr>
              <w:pStyle w:val="TableContents"/>
              <w:bidi w:val="0"/>
              <w:spacing w:before="0" w:after="283"/>
              <w:jc w:val="left"/>
              <w:rPr/>
            </w:pPr>
            <w:hyperlink w:anchor="jakkex23-1.htm">
              <w:r>
                <w:rPr>
                  <w:rStyle w:val="InternetLink"/>
                  <w:rFonts w:ascii="Times New Roman;Times;Serif" w:hAnsi="Times New Roman;Times;Serif"/>
                  <w:b w:val="false"/>
                  <w:i w:val="false"/>
                  <w:caps w:val="false"/>
                  <w:smallCaps w:val="false"/>
                  <w:sz w:val="20"/>
                </w:rPr>
                <w:t>Consent of BDO USA, P.C.</w:t>
              </w:r>
            </w:hyperlink>
          </w:p>
        </w:tc>
      </w:tr>
      <w:tr>
        <w:trPr/>
        <w:tc>
          <w:tcPr>
            <w:tcW w:w="94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104" w:type="dxa"/>
            <w:tcBorders/>
            <w:tcMar>
              <w:bottom w:w="0" w:type="dxa"/>
            </w:tcMar>
            <w:vAlign w:val="center"/>
          </w:tcPr>
          <w:p>
            <w:pPr>
              <w:pStyle w:val="TableContents"/>
              <w:bidi w:val="0"/>
              <w:spacing w:before="0" w:after="283"/>
              <w:jc w:val="left"/>
              <w:rPr/>
            </w:pPr>
            <w:r>
              <w:rPr/>
              <w:t> </w:t>
            </w:r>
          </w:p>
        </w:tc>
        <w:tc>
          <w:tcPr>
            <w:tcW w:w="91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Feder Kaszovitz LLP (included in Exhibit 5.1).</w:t>
            </w:r>
          </w:p>
        </w:tc>
      </w:tr>
      <w:tr>
        <w:trPr/>
        <w:tc>
          <w:tcPr>
            <w:tcW w:w="94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104" w:type="dxa"/>
            <w:tcBorders/>
            <w:tcMar>
              <w:bottom w:w="0" w:type="dxa"/>
            </w:tcMar>
            <w:vAlign w:val="center"/>
          </w:tcPr>
          <w:p>
            <w:pPr>
              <w:pStyle w:val="TableContents"/>
              <w:bidi w:val="0"/>
              <w:spacing w:before="0" w:after="283"/>
              <w:jc w:val="left"/>
              <w:rPr/>
            </w:pPr>
            <w:r>
              <w:rPr/>
              <w:t> </w:t>
            </w:r>
          </w:p>
        </w:tc>
        <w:tc>
          <w:tcPr>
            <w:tcW w:w="9160" w:type="dxa"/>
            <w:tcBorders/>
            <w:tcMar>
              <w:bottom w:w="0" w:type="dxa"/>
            </w:tcMar>
            <w:vAlign w:val="center"/>
          </w:tcPr>
          <w:p>
            <w:pPr>
              <w:pStyle w:val="TableContents"/>
              <w:bidi w:val="0"/>
              <w:spacing w:before="0" w:after="283"/>
              <w:jc w:val="left"/>
              <w:rPr/>
            </w:pPr>
            <w:hyperlink w:anchor="sig_001">
              <w:r>
                <w:rPr>
                  <w:rStyle w:val="InternetLink"/>
                  <w:rFonts w:ascii="Times New Roman;Times;Serif" w:hAnsi="Times New Roman;Times;Serif"/>
                  <w:b w:val="false"/>
                  <w:i w:val="false"/>
                  <w:caps w:val="false"/>
                  <w:smallCaps w:val="false"/>
                  <w:sz w:val="20"/>
                </w:rPr>
                <w:t>Power of attorney (set forth on signature page)</w:t>
              </w:r>
            </w:hyperlink>
          </w:p>
        </w:tc>
      </w:tr>
      <w:tr>
        <w:trPr/>
        <w:tc>
          <w:tcPr>
            <w:tcW w:w="94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25.1***** </w:t>
            </w:r>
          </w:p>
        </w:tc>
        <w:tc>
          <w:tcPr>
            <w:tcW w:w="104" w:type="dxa"/>
            <w:tcBorders/>
            <w:tcMar>
              <w:bottom w:w="0" w:type="dxa"/>
            </w:tcMar>
            <w:vAlign w:val="center"/>
          </w:tcPr>
          <w:p>
            <w:pPr>
              <w:pStyle w:val="TableContents"/>
              <w:bidi w:val="0"/>
              <w:spacing w:before="0" w:after="283"/>
              <w:jc w:val="left"/>
              <w:rPr/>
            </w:pPr>
            <w:r>
              <w:rPr/>
              <w:t xml:space="preserve">  </w:t>
            </w:r>
          </w:p>
        </w:tc>
        <w:tc>
          <w:tcPr>
            <w:tcW w:w="91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Statement of Eligibility under the Trust Indenture Act of 1939, as amended, of the Trustee, as Trustee under the Indenture filed as Exhibit 4.2 above </w:t>
            </w:r>
          </w:p>
        </w:tc>
      </w:tr>
      <w:tr>
        <w:trPr/>
        <w:tc>
          <w:tcPr>
            <w:tcW w:w="94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104" w:type="dxa"/>
            <w:tcBorders/>
            <w:tcMar>
              <w:bottom w:w="0" w:type="dxa"/>
            </w:tcMar>
            <w:vAlign w:val="center"/>
          </w:tcPr>
          <w:p>
            <w:pPr>
              <w:pStyle w:val="TableContents"/>
              <w:bidi w:val="0"/>
              <w:spacing w:before="0" w:after="283"/>
              <w:jc w:val="left"/>
              <w:rPr/>
            </w:pPr>
            <w:r>
              <w:rPr/>
              <w:t> </w:t>
            </w:r>
          </w:p>
        </w:tc>
        <w:tc>
          <w:tcPr>
            <w:tcW w:w="9160" w:type="dxa"/>
            <w:tcBorders/>
            <w:tcMar>
              <w:bottom w:w="0" w:type="dxa"/>
            </w:tcMar>
            <w:vAlign w:val="center"/>
          </w:tcPr>
          <w:p>
            <w:pPr>
              <w:pStyle w:val="TableContents"/>
              <w:bidi w:val="0"/>
              <w:spacing w:before="0" w:after="283"/>
              <w:jc w:val="left"/>
              <w:rPr/>
            </w:pPr>
            <w:hyperlink w:anchor="jakkex-fee.htm">
              <w:r>
                <w:rPr>
                  <w:rStyle w:val="InternetLink"/>
                  <w:rFonts w:ascii="Times New Roman;Times;Serif" w:hAnsi="Times New Roman;Times;Serif"/>
                  <w:b w:val="false"/>
                  <w:i w:val="false"/>
                  <w:caps w:val="false"/>
                  <w:smallCaps w:val="false"/>
                  <w:sz w:val="20"/>
                </w:rPr>
                <w:t>Filing Fees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Incorporated by reference from Registration Statement on Form S-3/A (File No. 333-267958) filed on October 27, 2022.</w:t>
            </w:r>
          </w:p>
        </w:tc>
      </w:tr>
    </w:tbl>
    <w:p>
      <w:pPr>
        <w:pStyle w:val="TextBody"/>
        <w:bidi w:val="0"/>
        <w:spacing w:before="0" w:after="0"/>
        <w:ind w:left="0" w:right="0" w:hanging="0"/>
        <w:jc w:val="left"/>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275"/>
        <w:gridCol w:w="9815"/>
      </w:tblGrid>
      <w:tr>
        <w:trPr/>
        <w:tc>
          <w:tcPr>
            <w:tcW w:w="2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be filed by amendment or incorporated by reference in connection with the offering of the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2"/>
        <w:gridCol w:w="9843"/>
      </w:tblGrid>
      <w:tr>
        <w:trPr/>
        <w:tc>
          <w:tcPr>
            <w:tcW w:w="36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Incorporated by reference from Registration Statement on Form S-3 (File No. 333-267958) filed on October 20, 2022.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6"/>
        <w:gridCol w:w="9709"/>
      </w:tblGrid>
      <w:tr>
        <w:trPr/>
        <w:tc>
          <w:tcPr>
            <w:tcW w:w="496" w:type="dxa"/>
            <w:tcBorders/>
            <w:vAlign w:val="center"/>
          </w:tcPr>
          <w:p>
            <w:pPr>
              <w:pStyle w:val="TableContents"/>
              <w:bidi w:val="0"/>
              <w:spacing w:before="0" w:after="283"/>
              <w:jc w:val="left"/>
              <w:rPr/>
            </w:pPr>
            <w:r>
              <w:rPr/>
              <w:t xml:space="preserve">**** </w:t>
            </w:r>
          </w:p>
        </w:tc>
        <w:tc>
          <w:tcPr>
            <w:tcW w:w="9709" w:type="dxa"/>
            <w:tcBorders/>
            <w:vAlign w:val="center"/>
          </w:tcPr>
          <w:p>
            <w:pPr>
              <w:pStyle w:val="TableContents"/>
              <w:bidi w:val="0"/>
              <w:spacing w:before="0" w:after="283"/>
              <w:jc w:val="both"/>
              <w:rPr/>
            </w:pPr>
            <w:r>
              <w:rPr/>
              <w:t xml:space="preserve">Incorporated by reference from the exhibit included in the original filing of this registration statement on October 29, 2025. </w:t>
            </w:r>
          </w:p>
        </w:tc>
      </w:tr>
    </w:tbl>
    <w:p>
      <w:pPr>
        <w:pStyle w:val="TextBody"/>
        <w:bidi w:val="0"/>
        <w:spacing w:before="0" w:after="0"/>
        <w:ind w:left="0" w:right="0" w:hanging="0"/>
        <w:jc w:val="left"/>
        <w:rPr>
          <w:caps w:val="false"/>
          <w:smallCaps w:val="false"/>
        </w:rPr>
      </w:pPr>
      <w:r>
        <w:rPr>
          <w:caps w:val="false"/>
          <w:smallCaps w:val="false"/>
        </w:rPr>
        <w:t> </w:t>
      </w:r>
    </w:p>
    <w:tbl>
      <w:tblPr>
        <w:tblW w:w="6850" w:type="dxa"/>
        <w:jc w:val="left"/>
        <w:tblInd w:w="0" w:type="dxa"/>
        <w:tblLayout w:type="fixed"/>
        <w:tblCellMar>
          <w:top w:w="0" w:type="dxa"/>
          <w:left w:w="0" w:type="dxa"/>
          <w:bottom w:w="0" w:type="dxa"/>
          <w:right w:w="0" w:type="dxa"/>
        </w:tblCellMar>
      </w:tblPr>
      <w:tblGrid>
        <w:gridCol w:w="605"/>
        <w:gridCol w:w="6245"/>
      </w:tblGrid>
      <w:tr>
        <w:trPr/>
        <w:tc>
          <w:tcPr>
            <w:tcW w:w="605" w:type="dxa"/>
            <w:tcBorders/>
            <w:vAlign w:val="center"/>
          </w:tcPr>
          <w:p>
            <w:pPr>
              <w:pStyle w:val="TableContents"/>
              <w:bidi w:val="0"/>
              <w:spacing w:before="0" w:after="283"/>
              <w:jc w:val="left"/>
              <w:rPr>
                <w:sz w:val="20"/>
              </w:rPr>
            </w:pPr>
            <w:r>
              <w:rPr>
                <w:sz w:val="20"/>
              </w:rPr>
              <w:t xml:space="preserve">***** </w:t>
            </w:r>
          </w:p>
        </w:tc>
        <w:tc>
          <w:tcPr>
            <w:tcW w:w="6245" w:type="dxa"/>
            <w:tcBorders/>
            <w:vAlign w:val="center"/>
          </w:tcPr>
          <w:p>
            <w:pPr>
              <w:pStyle w:val="TableContents"/>
              <w:bidi w:val="0"/>
              <w:spacing w:before="0" w:after="283"/>
              <w:jc w:val="both"/>
              <w:rPr>
                <w:sz w:val="20"/>
              </w:rPr>
            </w:pPr>
            <w:r>
              <w:rPr>
                <w:sz w:val="20"/>
              </w:rPr>
              <w:t xml:space="preserve">To be filed pursuant to Section 305(b)(2) of the Trust Indenture Act of 1939.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7"/>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8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 file, during any period in which offers or sales are being made, a post-effective amendment to this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w:t>
            </w:r>
          </w:p>
        </w:tc>
        <w:tc>
          <w:tcPr>
            <w:tcW w:w="994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 include any prospectus required by Section 10(a)(3) of the Securities Act of 1933, as amended, or the “Securities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w:t>
            </w:r>
          </w:p>
        </w:tc>
        <w:tc>
          <w:tcPr>
            <w:tcW w:w="99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 change in the maximum aggregate offering price set forth in the “Calculation of Registration Fee” table in the effective Registration Statement;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1"/>
        <w:gridCol w:w="9856"/>
      </w:tblGrid>
      <w:tr>
        <w:trPr/>
        <w:tc>
          <w:tcPr>
            <w:tcW w:w="3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(iii)</w:t>
            </w:r>
          </w:p>
        </w:tc>
        <w:tc>
          <w:tcPr>
            <w:tcW w:w="985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 include any material information with respect to the plan of distribution not previously disclosed in the registration statement or any material change to such information in 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paragraphs (1)(i), (1)(ii) and (1)(iii) do not apply if the information required to be included in a post-effective amendment by those paragraphs is contained in reports filed with or furnished to the Commission by the Registrant pursuant to Section 13 or Section 15(d) of the Securities Exchange Act of 1934, as amended, or the “Exchange Act,” that are incorporated by reference in the Registration Statement, or is contained in a form of prospectus filed pursuant to Rule 424(b) that is part of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p>
      <w:pPr>
        <w:pStyle w:val="TextBody"/>
        <w:bidi w:val="0"/>
        <w:spacing w:before="0" w:after="0"/>
        <w:ind w:left="0" w:right="0" w:hanging="0"/>
        <w:jc w:val="left"/>
        <w:rPr/>
      </w:pPr>
      <w:hyperlink w:anchor="TableOfContents">
        <w:r>
          <w:rPr>
            <w:rStyle w:val="InternetLink"/>
          </w:rPr>
          <w:t>Table of Contents</w:t>
        </w:r>
      </w:hyperlink>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7" w:type="dxa"/>
            <w:tcBorders/>
            <w:vAlign w:val="center"/>
          </w:tcPr>
          <w:p>
            <w:pPr>
              <w:pStyle w:val="TableContents"/>
              <w:bidi w:val="0"/>
              <w:spacing w:before="0" w:after="283"/>
              <w:jc w:val="left"/>
              <w:rPr>
                <w:caps w:val="false"/>
                <w:smallCaps w:val="false"/>
              </w:rPr>
            </w:pPr>
            <w:r>
              <w:rPr>
                <w:caps w:val="false"/>
                <w:smallCaps w:val="false"/>
              </w:rPr>
              <w:t> </w:t>
            </w:r>
          </w:p>
        </w:tc>
        <w:tc>
          <w:tcPr>
            <w:tcW w:w="992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remove from registration by means of a post-effective amendment any of the securities being registered which remain unsold at the termination of the offering.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7" w:type="dxa"/>
            <w:tcBorders/>
            <w:vAlign w:val="center"/>
          </w:tcPr>
          <w:p>
            <w:pPr>
              <w:pStyle w:val="TableContents"/>
              <w:bidi w:val="0"/>
              <w:spacing w:before="0" w:after="283"/>
              <w:jc w:val="left"/>
              <w:rPr>
                <w:caps w:val="false"/>
                <w:smallCaps w:val="false"/>
              </w:rPr>
            </w:pPr>
            <w:r>
              <w:rPr>
                <w:caps w:val="false"/>
                <w:smallCaps w:val="false"/>
              </w:rPr>
              <w:t> </w:t>
            </w:r>
          </w:p>
        </w:tc>
        <w:tc>
          <w:tcPr>
            <w:tcW w:w="992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for the purpose of determining liability under the Securities Act to any purchaser: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prospectus filed by the Registrant pursuant to Rule 424(b)(3) shall be deemed to be part of the registration statement as of the date the filed prospectus was deemed part of and included in the registration statement;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4" w:type="dxa"/>
            <w:tcBorders/>
            <w:vAlign w:val="center"/>
          </w:tcPr>
          <w:p>
            <w:pPr>
              <w:pStyle w:val="TableContents"/>
              <w:bidi w:val="0"/>
              <w:spacing w:before="0" w:after="283"/>
              <w:jc w:val="left"/>
              <w:rPr>
                <w:caps w:val="false"/>
                <w:smallCaps w:val="false"/>
              </w:rPr>
            </w:pPr>
            <w:r>
              <w:rPr>
                <w:caps w:val="false"/>
                <w:smallCaps w:val="false"/>
              </w:rPr>
              <w:t> </w:t>
            </w:r>
          </w:p>
        </w:tc>
        <w:tc>
          <w:tcPr>
            <w:tcW w:w="992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prospectus required to be filed pursuant to Rule 424(b)(2), (b)(5) or (b)(7) as part of the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for the purpose of determining liability of a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1"/>
        <w:gridCol w:w="983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preliminary prospectus or prospectus of the undersigned Registrant relating to the offering required to be filed pursuant to Rule 424;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1" w:type="dxa"/>
            <w:tcBorders/>
            <w:vAlign w:val="center"/>
          </w:tcPr>
          <w:p>
            <w:pPr>
              <w:pStyle w:val="TableContents"/>
              <w:bidi w:val="0"/>
              <w:spacing w:before="0" w:after="283"/>
              <w:jc w:val="left"/>
              <w:rPr>
                <w:caps w:val="false"/>
                <w:smallCaps w:val="false"/>
              </w:rPr>
            </w:pPr>
            <w:r>
              <w:rPr>
                <w:caps w:val="false"/>
                <w:smallCaps w:val="false"/>
              </w:rPr>
              <w:t> </w:t>
            </w:r>
          </w:p>
        </w:tc>
        <w:tc>
          <w:tcPr>
            <w:tcW w:w="983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free writing prospectus relating to the offering prepared by or on behalf of the undersigned Registrant or used or referred to by the undersigned Registrant;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1" w:type="dxa"/>
            <w:tcBorders/>
            <w:vAlign w:val="center"/>
          </w:tcPr>
          <w:p>
            <w:pPr>
              <w:pStyle w:val="TableContents"/>
              <w:bidi w:val="0"/>
              <w:spacing w:before="0" w:after="283"/>
              <w:jc w:val="left"/>
              <w:rPr>
                <w:caps w:val="false"/>
                <w:smallCaps w:val="false"/>
              </w:rPr>
            </w:pPr>
            <w:r>
              <w:rPr>
                <w:caps w:val="false"/>
                <w:smallCaps w:val="false"/>
              </w:rPr>
              <w:t> </w:t>
            </w:r>
          </w:p>
        </w:tc>
        <w:tc>
          <w:tcPr>
            <w:tcW w:w="983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portion of any other free writing prospectus relating to the offering containing material information about the undersigned Registrant or its securities provided by or on behalf of the undersigned Registrant;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1" w:type="dxa"/>
            <w:tcBorders/>
            <w:vAlign w:val="center"/>
          </w:tcPr>
          <w:p>
            <w:pPr>
              <w:pStyle w:val="TableContents"/>
              <w:bidi w:val="0"/>
              <w:spacing w:before="0" w:after="283"/>
              <w:jc w:val="left"/>
              <w:rPr>
                <w:caps w:val="false"/>
                <w:smallCaps w:val="false"/>
              </w:rPr>
            </w:pPr>
            <w:r>
              <w:rPr>
                <w:caps w:val="false"/>
                <w:smallCaps w:val="false"/>
              </w:rPr>
              <w:t> </w:t>
            </w:r>
          </w:p>
        </w:tc>
        <w:tc>
          <w:tcPr>
            <w:tcW w:w="983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communication that is an offer in the offering made by the undersigned Registrant to the purchaser.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 that for the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and controlling persons of the Registrant pursuant to the provisions set forth in response to Item 15,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II-3</w:t>
      </w:r>
    </w:p>
    <w:p>
      <w:pPr>
        <w:pStyle w:val="TextBody"/>
        <w:bidi w:val="0"/>
        <w:spacing w:before="0" w:after="0"/>
        <w:ind w:left="0" w:right="0" w:hanging="0"/>
        <w:jc w:val="left"/>
        <w:rPr/>
      </w:pPr>
      <w:hyperlink w:anchor="TableOfContents">
        <w:r>
          <w:rPr>
            <w:rStyle w:val="InternetLink"/>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 w:name="sig_001"/>
      <w:bookmarkEnd w:id="32"/>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Santa Monica, State of California, on April 29, 2026 </w:t>
      </w:r>
    </w:p>
    <w:p>
      <w:pPr>
        <w:pStyle w:val="TextBody"/>
        <w:bidi w:val="0"/>
        <w:spacing w:before="0" w:after="0"/>
        <w:ind w:left="0" w:right="0" w:hanging="0"/>
        <w:jc w:val="left"/>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75"/>
        <w:gridCol w:w="365"/>
        <w:gridCol w:w="22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90"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JAKKS PACIFIC,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22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STEPHEN G. BERMAN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Stephen G. Berman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the undersigned officers and directors of JAKKS Pacific, Inc., and each of us, do hereby constitute and appoint Stephen G. Berman as our true and lawful attorney with full power to sign for us and in our names in the capacities indicated below any and all amendments (including post-effective amendments) to the registration statement filed herewith as well as any registration statement for the same offering covered by this registration statement that is to be effective upon filing pursuant to Rule 462(b) of the Securities Act of 1933, and generally do all such things in our names and in our capacities as officers and directors to enable JAKKS Pacific, Inc. to comply with the provisions of the Securities Act of 1933, and all requirements of the Securities and Exchange Commission, hereby ratifying and confirming our signatures as they may be signed by our said attorneys, or any of them, to said registration statements and any and all amendments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9045" w:type="dxa"/>
        <w:jc w:val="left"/>
        <w:tblInd w:w="0" w:type="dxa"/>
        <w:tblLayout w:type="fixed"/>
        <w:tblCellMar>
          <w:top w:w="0" w:type="dxa"/>
          <w:left w:w="0" w:type="dxa"/>
          <w:bottom w:w="28" w:type="dxa"/>
          <w:right w:w="0" w:type="dxa"/>
        </w:tblCellMar>
      </w:tblPr>
      <w:tblGrid>
        <w:gridCol w:w="2480"/>
        <w:gridCol w:w="120"/>
        <w:gridCol w:w="5060"/>
        <w:gridCol w:w="120"/>
        <w:gridCol w:w="1265"/>
      </w:tblGrid>
      <w:tr>
        <w:trPr/>
        <w:tc>
          <w:tcPr>
            <w:tcW w:w="248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Signature</w:t>
            </w:r>
            <w:r>
              <w:rPr>
                <w:rFonts w:ascii="Times New Roman;Times;Serif" w:hAnsi="Times New Roman;Times;Serif"/>
                <w:b w:val="false"/>
                <w:i w:val="false"/>
                <w:caps w:val="false"/>
                <w:smallCaps w:val="false"/>
                <w:sz w:val="20"/>
              </w:rPr>
              <w:t xml:space="preserve">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506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Title</w:t>
            </w:r>
            <w:r>
              <w:rPr>
                <w:rFonts w:ascii="Times New Roman;Times;Serif" w:hAnsi="Times New Roman;Times;Serif"/>
                <w:b w:val="false"/>
                <w:i w:val="false"/>
                <w:caps w:val="false"/>
                <w:smallCaps w:val="false"/>
                <w:sz w:val="20"/>
              </w:rPr>
              <w:t xml:space="preserve">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6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Date</w:t>
            </w:r>
            <w:r>
              <w:rPr>
                <w:rFonts w:ascii="Times New Roman;Times;Serif" w:hAnsi="Times New Roman;Times;Serif"/>
                <w:b w:val="false"/>
                <w:i w:val="false"/>
                <w:caps w:val="false"/>
                <w:smallCaps w:val="false"/>
                <w:sz w:val="20"/>
              </w:rPr>
              <w:t xml:space="preserve"> </w:t>
            </w:r>
          </w:p>
        </w:tc>
      </w:tr>
      <w:tr>
        <w:trPr/>
        <w:tc>
          <w:tcPr>
            <w:tcW w:w="248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506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65"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248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STEPHEN G. BERMAN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50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Director and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April 29, 2026 </w:t>
            </w:r>
          </w:p>
        </w:tc>
      </w:tr>
      <w:tr>
        <w:trPr/>
        <w:tc>
          <w:tcPr>
            <w:tcW w:w="24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Stephen G. Berman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50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Executive Officer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65"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248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506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65"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248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JOHN L. KIMBLE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50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Financial Officer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April 29, 2026 </w:t>
            </w:r>
          </w:p>
        </w:tc>
      </w:tr>
      <w:tr>
        <w:trPr/>
        <w:tc>
          <w:tcPr>
            <w:tcW w:w="24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John L. Kimble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50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(Principal Financial Officer and Principal Accounting Officer)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65"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248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506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65"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248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ALEXANDER SHOGHI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50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Director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April 29, 2026 </w:t>
            </w:r>
          </w:p>
        </w:tc>
      </w:tr>
      <w:tr>
        <w:trPr/>
        <w:tc>
          <w:tcPr>
            <w:tcW w:w="24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Alexander Shoghi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506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65"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248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506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65"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248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LORI MACPHERSON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50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Director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April 29, 2026 </w:t>
            </w:r>
          </w:p>
        </w:tc>
      </w:tr>
      <w:tr>
        <w:trPr/>
        <w:tc>
          <w:tcPr>
            <w:tcW w:w="24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Lori MacPherson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506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65"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248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506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65"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248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NEILWANTIE MAHABIR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50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Director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April 29, 2026 </w:t>
            </w:r>
          </w:p>
        </w:tc>
      </w:tr>
      <w:tr>
        <w:trPr/>
        <w:tc>
          <w:tcPr>
            <w:tcW w:w="24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Neilwantie Mahabir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506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65"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248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506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65"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248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JONATHAN R. LIEBMAN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50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Director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April 29, 2026 </w:t>
            </w:r>
          </w:p>
        </w:tc>
      </w:tr>
      <w:tr>
        <w:trPr/>
        <w:tc>
          <w:tcPr>
            <w:tcW w:w="24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Jonathan R. Liebman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506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65"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248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506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65"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248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JORDAN MOELIS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50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Director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April 29, 2026 </w:t>
            </w:r>
          </w:p>
        </w:tc>
      </w:tr>
      <w:tr>
        <w:trPr/>
        <w:tc>
          <w:tcPr>
            <w:tcW w:w="24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Jordan Moelis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506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65"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II-4</w:t>
      </w:r>
    </w:p>
    <w:p>
      <w:pPr>
        <w:pStyle w:val="TextBody"/>
        <w:bidi w:val="0"/>
        <w:ind w:left="0" w:right="0" w:hanging="0"/>
        <w:jc w:val="right"/>
        <w:rPr>
          <w:b/>
        </w:rPr>
      </w:pPr>
      <w:bookmarkStart w:id="33" w:name="jakkex1-1i.htm"/>
      <w:bookmarkStart w:id="34" w:name="ksjakkex11i"/>
      <w:bookmarkEnd w:id="33"/>
      <w:bookmarkEnd w:id="34"/>
      <w:r>
        <w:rPr>
          <w:b/>
        </w:rPr>
        <w:t>Exhibit 1.1.1</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1 TO AT MARKET ISSUANCE SALES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1 TO THE AT MARKET ISSUANCE SALES AGREEMENT (this “</w:t>
      </w:r>
      <w:r>
        <w:rPr>
          <w:rFonts w:ascii="Times New Roman;Times;Serif" w:hAnsi="Times New Roman;Times;Serif"/>
          <w:b/>
          <w:i w:val="false"/>
          <w:caps w:val="false"/>
          <w:smallCaps w:val="false"/>
          <w:sz w:val="20"/>
        </w:rPr>
        <w:t>Amendment</w:t>
      </w:r>
      <w:r>
        <w:rPr>
          <w:rFonts w:ascii="Times New Roman;Times;Serif" w:hAnsi="Times New Roman;Times;Serif"/>
          <w:b w:val="false"/>
          <w:i w:val="false"/>
          <w:caps w:val="false"/>
          <w:smallCaps w:val="false"/>
          <w:sz w:val="20"/>
        </w:rPr>
        <w:t>”), is made and entered into as of April 28, 2026, by and among JAKKS Pacific,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B. Riley Securities, Inc. (the “</w:t>
      </w:r>
      <w:r>
        <w:rPr>
          <w:rFonts w:ascii="Times New Roman;Times;Serif" w:hAnsi="Times New Roman;Times;Serif"/>
          <w:b/>
          <w:i w:val="false"/>
          <w:caps w:val="false"/>
          <w:smallCaps w:val="false"/>
          <w:sz w:val="20"/>
        </w:rPr>
        <w:t>Agent</w:t>
      </w:r>
      <w:r>
        <w:rPr>
          <w:rFonts w:ascii="Times New Roman;Times;Serif" w:hAnsi="Times New Roman;Times;Serif"/>
          <w:b w:val="false"/>
          <w:i w:val="false"/>
          <w:caps w:val="false"/>
          <w:smallCaps w:val="false"/>
          <w:sz w:val="20"/>
        </w:rPr>
        <w:t>”). Capitalized terms not otherwise defined herein shall have the meanings set forth in the At Market Issuance Sales Agreement, dated as of October 20, 2022 (the “</w:t>
      </w:r>
      <w:r>
        <w:rPr>
          <w:rFonts w:ascii="Times New Roman;Times;Serif" w:hAnsi="Times New Roman;Times;Serif"/>
          <w:b/>
          <w:i w:val="false"/>
          <w:caps w:val="false"/>
          <w:smallCaps w:val="false"/>
          <w:sz w:val="20"/>
        </w:rPr>
        <w:t>Sales Agreement</w:t>
      </w:r>
      <w:r>
        <w:rPr>
          <w:rFonts w:ascii="Times New Roman;Times;Serif" w:hAnsi="Times New Roman;Times;Serif"/>
          <w:b w:val="false"/>
          <w:i w:val="false"/>
          <w:caps w:val="false"/>
          <w:smallCaps w:val="false"/>
          <w:sz w:val="20"/>
        </w:rPr>
        <w:t>”) between the Company and the Agent.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and the Agent entered into the Sales Agreement relating the issuance and sale of the Company’s common stock, par value $0.001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through or to the Agent, as sales agent or principal, from time to time during the term of the Sales Agreement pursuant to a registration statement on Form S-3 (File No. 333-267958) (the “</w:t>
      </w:r>
      <w:r>
        <w:rPr>
          <w:rFonts w:ascii="Times New Roman;Times;Serif" w:hAnsi="Times New Roman;Times;Serif"/>
          <w:b/>
          <w:i w:val="false"/>
          <w:caps w:val="false"/>
          <w:smallCaps w:val="false"/>
          <w:sz w:val="20"/>
        </w:rPr>
        <w:t>Prior Registration Statement</w:t>
      </w:r>
      <w:r>
        <w:rPr>
          <w:rFonts w:ascii="Times New Roman;Times;Serif" w:hAnsi="Times New Roman;Times;Serif"/>
          <w:b w:val="false"/>
          <w:i w:val="false"/>
          <w:caps w:val="false"/>
          <w:smallCaps w:val="false"/>
          <w:sz w:val="20"/>
        </w:rPr>
        <w:t>”) and the related prospectus for the issuance and sales of Common Stock under the Sale Agreement up to $75,000,000.</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Prior Registration Statement expired on October 28, 2025 and Company and the Agent wish to extend the Sales Agreement by transferring any unsold shares of Common Stock under the Sales Agreement to a replacement registration statement on Form S-3 filed by the Company on October 29, 2025.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parties hereto desire to amend the Sales Agreement as set forth herein to reflect the foregoing.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the parties agree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All references to “</w:t>
      </w:r>
      <w:r>
        <w:rPr>
          <w:rFonts w:ascii="Times New Roman;Times;Serif" w:hAnsi="Times New Roman;Times;Serif"/>
          <w:b/>
          <w:i w:val="false"/>
          <w:caps w:val="false"/>
          <w:smallCaps w:val="false"/>
          <w:sz w:val="20"/>
        </w:rPr>
        <w:t>Form S-3</w:t>
      </w:r>
      <w:r>
        <w:rPr>
          <w:rFonts w:ascii="Times New Roman;Times;Serif" w:hAnsi="Times New Roman;Times;Serif"/>
          <w:b w:val="false"/>
          <w:i w:val="false"/>
          <w:caps w:val="false"/>
          <w:smallCaps w:val="false"/>
          <w:sz w:val="20"/>
        </w:rPr>
        <w:t>” in the Sales Agreement, shall refer to the Registration Statement on Form S-3 (No. 333-291138) filed on October 29, 2025 by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Company agrees to reimburse reasonable legal fees incurred by B. Riley Securities, Inc. up to $15,000 in connection with this Amendment.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Schedule 3</w:t>
      </w:r>
      <w:r>
        <w:rPr>
          <w:rFonts w:ascii="Times New Roman;Times;Serif" w:hAnsi="Times New Roman;Times;Serif"/>
          <w:b w:val="false"/>
          <w:i w:val="false"/>
          <w:caps w:val="false"/>
          <w:smallCaps w:val="false"/>
          <w:sz w:val="20"/>
        </w:rPr>
        <w:t xml:space="preserve">. Schedule 3 to the Sales Agreement is hereby amended and restated in its entirety to read as set forth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attached hereto.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Sale and Delivery to the Agent; Settlement</w:t>
      </w:r>
      <w:r>
        <w:rPr>
          <w:rFonts w:ascii="Times New Roman;Times;Serif" w:hAnsi="Times New Roman;Times;Serif"/>
          <w:b w:val="false"/>
          <w:i w:val="false"/>
          <w:caps w:val="false"/>
          <w:smallCaps w:val="false"/>
          <w:sz w:val="20"/>
        </w:rPr>
        <w:t>. The first sentence of Section 5(b) is hereby amended and restated in its entirety to read as set forth below:</w:t>
        <w:tab/>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applicable Placement Notice, settlement for sales of Placement Shares will occur on the first (1st) Trading Day following the date on which such sales are made (each, a “Settlement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Governing Law and Time; Waiver of Jury Trial</w:t>
      </w:r>
      <w:r>
        <w:rPr>
          <w:rFonts w:ascii="Times New Roman;Times;Serif" w:hAnsi="Times New Roman;Times;Serif"/>
          <w:b w:val="false"/>
          <w:i w:val="false"/>
          <w:caps w:val="false"/>
          <w:smallCaps w:val="false"/>
          <w:sz w:val="20"/>
        </w:rPr>
        <w:t>. This Amendment shall be governed in the same manner as described in Section 18 of the Sales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Amendment may be executed in two or more counterparts, each of which shall be an original, but all of which together shall constitute one and the same instrument.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Titles and Subtitles</w:t>
      </w:r>
      <w:r>
        <w:rPr>
          <w:rFonts w:ascii="Times New Roman;Times;Serif" w:hAnsi="Times New Roman;Times;Serif"/>
          <w:b w:val="false"/>
          <w:i w:val="false"/>
          <w:caps w:val="false"/>
          <w:smallCaps w:val="false"/>
          <w:sz w:val="20"/>
        </w:rPr>
        <w:t>. The titles of the sections and subsections of this Amendment are for convenience of reference only and are not to be considered in construing this Amendment.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Effective Date and Other Changes</w:t>
      </w:r>
      <w:r>
        <w:rPr>
          <w:rFonts w:ascii="Times New Roman;Times;Serif" w:hAnsi="Times New Roman;Times;Serif"/>
          <w:b w:val="false"/>
          <w:i w:val="false"/>
          <w:caps w:val="false"/>
          <w:smallCaps w:val="false"/>
          <w:sz w:val="20"/>
        </w:rPr>
        <w:t>. This Amendment shall become effective on the date hereof. Except to the extent hereby amended, the terms and provisions of the Sales Agreement shall remain in full force and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Amendment No. 1 to the Sales Agreement as of the date first written above.</w:t>
      </w:r>
    </w:p>
    <w:p>
      <w:pPr>
        <w:pStyle w:val="TextBody"/>
        <w:bidi w:val="0"/>
        <w:spacing w:before="0" w:after="0"/>
        <w:ind w:left="0" w:right="0" w:firstLine="720"/>
        <w:jc w:val="both"/>
        <w:rPr>
          <w:caps w:val="false"/>
          <w:smallCaps w:val="false"/>
        </w:rPr>
      </w:pPr>
      <w:r>
        <w:rPr>
          <w:caps w:val="false"/>
          <w:smallCaps w:val="false"/>
        </w:rPr>
        <w:t> </w:t>
      </w:r>
    </w:p>
    <w:tbl>
      <w:tblPr>
        <w:tblW w:w="2614" w:type="dxa"/>
        <w:jc w:val="left"/>
        <w:tblInd w:w="0" w:type="dxa"/>
        <w:tblLayout w:type="fixed"/>
        <w:tblCellMar>
          <w:top w:w="0" w:type="dxa"/>
          <w:left w:w="0" w:type="dxa"/>
          <w:bottom w:w="0" w:type="dxa"/>
          <w:right w:w="0" w:type="dxa"/>
        </w:tblCellMar>
      </w:tblPr>
      <w:tblGrid>
        <w:gridCol w:w="75"/>
        <w:gridCol w:w="899"/>
        <w:gridCol w:w="1640"/>
      </w:tblGrid>
      <w:tr>
        <w:trPr/>
        <w:tc>
          <w:tcPr>
            <w:tcW w:w="75" w:type="dxa"/>
            <w:tcBorders/>
            <w:vAlign w:val="center"/>
          </w:tcPr>
          <w:p>
            <w:pPr>
              <w:pStyle w:val="TableContents"/>
              <w:bidi w:val="0"/>
              <w:spacing w:before="0" w:after="283"/>
              <w:jc w:val="left"/>
              <w:rPr/>
            </w:pPr>
            <w:r>
              <w:rPr/>
              <w:t> </w:t>
            </w:r>
          </w:p>
        </w:tc>
        <w:tc>
          <w:tcPr>
            <w:tcW w:w="2539" w:type="dxa"/>
            <w:gridSpan w:val="2"/>
            <w:tcBorders/>
            <w:vAlign w:val="center"/>
          </w:tcPr>
          <w:p>
            <w:pPr>
              <w:pStyle w:val="TableContents"/>
              <w:bidi w:val="0"/>
              <w:spacing w:before="0" w:after="283"/>
              <w:jc w:val="left"/>
              <w:rPr/>
            </w:pPr>
            <w:r>
              <w:rPr/>
              <w:t>Very truly yours,</w:t>
            </w:r>
          </w:p>
        </w:tc>
      </w:tr>
      <w:tr>
        <w:trPr/>
        <w:tc>
          <w:tcPr>
            <w:tcW w:w="75" w:type="dxa"/>
            <w:tcBorders/>
            <w:vAlign w:val="center"/>
          </w:tcPr>
          <w:p>
            <w:pPr>
              <w:pStyle w:val="TableContents"/>
              <w:bidi w:val="0"/>
              <w:spacing w:before="0" w:after="283"/>
              <w:jc w:val="left"/>
              <w:rPr/>
            </w:pPr>
            <w:r>
              <w:rPr/>
              <w:t> </w:t>
            </w:r>
          </w:p>
        </w:tc>
        <w:tc>
          <w:tcPr>
            <w:tcW w:w="253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539" w:type="dxa"/>
            <w:gridSpan w:val="2"/>
            <w:tcBorders/>
            <w:vAlign w:val="center"/>
          </w:tcPr>
          <w:p>
            <w:pPr>
              <w:pStyle w:val="TableContents"/>
              <w:bidi w:val="0"/>
              <w:spacing w:before="0" w:after="283"/>
              <w:jc w:val="left"/>
              <w:rPr>
                <w:b/>
              </w:rPr>
            </w:pPr>
            <w:r>
              <w:rPr>
                <w:b/>
              </w:rPr>
              <w:t>JAKKS PACIFIC, INC.</w:t>
            </w:r>
          </w:p>
        </w:tc>
      </w:tr>
      <w:tr>
        <w:trPr/>
        <w:tc>
          <w:tcPr>
            <w:tcW w:w="75" w:type="dxa"/>
            <w:tcBorders/>
            <w:vAlign w:val="center"/>
          </w:tcPr>
          <w:p>
            <w:pPr>
              <w:pStyle w:val="TableContents"/>
              <w:bidi w:val="0"/>
              <w:spacing w:before="0" w:after="283"/>
              <w:jc w:val="left"/>
              <w:rPr/>
            </w:pPr>
            <w:r>
              <w:rPr/>
              <w:t> </w:t>
            </w:r>
          </w:p>
        </w:tc>
        <w:tc>
          <w:tcPr>
            <w:tcW w:w="253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left"/>
              <w:rPr/>
            </w:pPr>
            <w:r>
              <w:rPr/>
              <w:t>By:</w:t>
            </w:r>
          </w:p>
        </w:tc>
        <w:tc>
          <w:tcPr>
            <w:tcW w:w="1640" w:type="dxa"/>
            <w:tcBorders>
              <w:bottom w:val="single" w:sz="8" w:space="0" w:color="000000"/>
            </w:tcBorders>
            <w:tcMar>
              <w:bottom w:w="28" w:type="dxa"/>
            </w:tcMar>
            <w:vAlign w:val="center"/>
          </w:tcPr>
          <w:p>
            <w:pPr>
              <w:pStyle w:val="TableContents"/>
              <w:bidi w:val="0"/>
              <w:spacing w:before="0" w:after="283"/>
              <w:jc w:val="left"/>
              <w:rPr/>
            </w:pPr>
            <w:r>
              <w:rPr/>
              <w:t>/s/</w:t>
            </w:r>
          </w:p>
        </w:tc>
      </w:tr>
      <w:tr>
        <w:trPr/>
        <w:tc>
          <w:tcPr>
            <w:tcW w:w="75"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Name:</w:t>
            </w:r>
          </w:p>
        </w:tc>
      </w:tr>
      <w:tr>
        <w:trPr/>
        <w:tc>
          <w:tcPr>
            <w:tcW w:w="75"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Title:</w:t>
            </w:r>
          </w:p>
        </w:tc>
      </w:tr>
    </w:tbl>
    <w:p>
      <w:pPr>
        <w:pStyle w:val="TextBody"/>
        <w:bidi w:val="0"/>
        <w:spacing w:before="0" w:after="0"/>
        <w:ind w:left="360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Amendment No. 1 to the Sales Agreement</w:t>
      </w:r>
      <w:r>
        <w:rPr>
          <w:rFonts w:ascii="Times New Roman;Times;Serif" w:hAnsi="Times New Roman;Times;Serif"/>
          <w:b w:val="false"/>
          <w:i w:val="false"/>
          <w:caps w:val="false"/>
          <w:smallCaps w:val="false"/>
          <w:sz w:val="20"/>
        </w:rPr>
        <w:t>]</w:t>
      </w:r>
    </w:p>
    <w:p>
      <w:pPr>
        <w:pStyle w:val="TextBody"/>
        <w:bidi w:val="0"/>
        <w:spacing w:before="0" w:after="0"/>
        <w:ind w:left="360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Accepted: As of the date first written above</w:t>
      </w:r>
    </w:p>
    <w:p>
      <w:pPr>
        <w:pStyle w:val="TextBody"/>
        <w:bidi w:val="0"/>
        <w:spacing w:before="0" w:after="0"/>
        <w:ind w:left="720" w:right="0" w:hanging="720"/>
        <w:jc w:val="left"/>
        <w:rPr>
          <w:caps w:val="false"/>
          <w:smallCaps w:val="false"/>
        </w:rPr>
      </w:pPr>
      <w:r>
        <w:rPr>
          <w:caps w:val="false"/>
          <w:smallCaps w:val="false"/>
        </w:rPr>
        <w:t> </w:t>
      </w:r>
    </w:p>
    <w:tbl>
      <w:tblPr>
        <w:tblW w:w="3348" w:type="dxa"/>
        <w:jc w:val="left"/>
        <w:tblInd w:w="0" w:type="dxa"/>
        <w:tblLayout w:type="fixed"/>
        <w:tblCellMar>
          <w:top w:w="0" w:type="dxa"/>
          <w:left w:w="0" w:type="dxa"/>
          <w:bottom w:w="0" w:type="dxa"/>
          <w:right w:w="0" w:type="dxa"/>
        </w:tblCellMar>
      </w:tblPr>
      <w:tblGrid>
        <w:gridCol w:w="1015"/>
        <w:gridCol w:w="1875"/>
        <w:gridCol w:w="383"/>
        <w:gridCol w:w="75"/>
      </w:tblGrid>
      <w:tr>
        <w:trPr/>
        <w:tc>
          <w:tcPr>
            <w:tcW w:w="3273" w:type="dxa"/>
            <w:gridSpan w:val="3"/>
            <w:tcBorders/>
            <w:vAlign w:val="center"/>
          </w:tcPr>
          <w:p>
            <w:pPr>
              <w:pStyle w:val="TableContents"/>
              <w:bidi w:val="0"/>
              <w:spacing w:before="0" w:after="283"/>
              <w:ind w:left="0" w:right="0" w:hanging="0"/>
              <w:jc w:val="left"/>
              <w:rPr>
                <w:b/>
              </w:rPr>
            </w:pPr>
            <w:r>
              <w:rPr>
                <w:b/>
              </w:rPr>
              <w:t>B. RILEY SECURITIES, INC.</w:t>
            </w:r>
          </w:p>
        </w:tc>
        <w:tc>
          <w:tcPr>
            <w:tcW w:w="75" w:type="dxa"/>
            <w:tcBorders/>
            <w:vAlign w:val="center"/>
          </w:tcPr>
          <w:p>
            <w:pPr>
              <w:pStyle w:val="TableContents"/>
              <w:bidi w:val="0"/>
              <w:spacing w:before="0" w:after="283"/>
              <w:ind w:left="0" w:right="0" w:hanging="0"/>
              <w:jc w:val="left"/>
              <w:rPr/>
            </w:pPr>
            <w:r>
              <w:rPr/>
              <w:t> </w:t>
            </w:r>
          </w:p>
        </w:tc>
      </w:tr>
      <w:tr>
        <w:trPr/>
        <w:tc>
          <w:tcPr>
            <w:tcW w:w="3273" w:type="dxa"/>
            <w:gridSpan w:val="3"/>
            <w:tcBorders/>
            <w:vAlign w:val="center"/>
          </w:tcPr>
          <w:p>
            <w:pPr>
              <w:pStyle w:val="TableContents"/>
              <w:bidi w:val="0"/>
              <w:spacing w:before="0" w:after="283"/>
              <w:ind w:left="0" w:right="0" w:hanging="0"/>
              <w:jc w:val="left"/>
              <w:rPr/>
            </w:pPr>
            <w:r>
              <w:rPr/>
              <w:t> </w:t>
            </w:r>
          </w:p>
        </w:tc>
        <w:tc>
          <w:tcPr>
            <w:tcW w:w="75" w:type="dxa"/>
            <w:tcBorders/>
            <w:vAlign w:val="center"/>
          </w:tcPr>
          <w:p>
            <w:pPr>
              <w:pStyle w:val="TableContents"/>
              <w:bidi w:val="0"/>
              <w:spacing w:before="0" w:after="283"/>
              <w:ind w:left="0" w:right="0" w:hanging="0"/>
              <w:jc w:val="left"/>
              <w:rPr/>
            </w:pPr>
            <w:r>
              <w:rPr/>
              <w:t> </w:t>
            </w:r>
          </w:p>
        </w:tc>
      </w:tr>
      <w:tr>
        <w:trPr/>
        <w:tc>
          <w:tcPr>
            <w:tcW w:w="1015" w:type="dxa"/>
            <w:tcBorders/>
            <w:vAlign w:val="center"/>
          </w:tcPr>
          <w:p>
            <w:pPr>
              <w:pStyle w:val="TableContents"/>
              <w:bidi w:val="0"/>
              <w:spacing w:before="0" w:after="283"/>
              <w:ind w:left="0" w:right="0" w:hanging="0"/>
              <w:jc w:val="left"/>
              <w:rPr/>
            </w:pPr>
            <w:r>
              <w:rPr/>
              <w:t>By:</w:t>
            </w:r>
          </w:p>
        </w:tc>
        <w:tc>
          <w:tcPr>
            <w:tcW w:w="2258" w:type="dxa"/>
            <w:gridSpan w:val="2"/>
            <w:tcBorders>
              <w:bottom w:val="single" w:sz="8" w:space="0" w:color="000000"/>
            </w:tcBorders>
            <w:tcMar>
              <w:bottom w:w="28" w:type="dxa"/>
            </w:tcMar>
            <w:vAlign w:val="center"/>
          </w:tcPr>
          <w:p>
            <w:pPr>
              <w:pStyle w:val="TableContents"/>
              <w:bidi w:val="0"/>
              <w:spacing w:before="0" w:after="283"/>
              <w:ind w:left="0" w:right="0" w:hanging="0"/>
              <w:jc w:val="left"/>
              <w:rPr/>
            </w:pPr>
            <w:r>
              <w:rPr/>
              <w:t>/s/</w:t>
            </w:r>
          </w:p>
        </w:tc>
        <w:tc>
          <w:tcPr>
            <w:tcW w:w="75" w:type="dxa"/>
            <w:tcBorders/>
            <w:vAlign w:val="center"/>
          </w:tcPr>
          <w:p>
            <w:pPr>
              <w:pStyle w:val="TableContents"/>
              <w:bidi w:val="0"/>
              <w:spacing w:before="0" w:after="283"/>
              <w:ind w:left="0" w:right="0" w:hanging="0"/>
              <w:jc w:val="left"/>
              <w:rPr/>
            </w:pPr>
            <w:r>
              <w:rPr/>
              <w:t> </w:t>
            </w:r>
          </w:p>
        </w:tc>
      </w:tr>
      <w:tr>
        <w:trPr/>
        <w:tc>
          <w:tcPr>
            <w:tcW w:w="1015" w:type="dxa"/>
            <w:tcBorders/>
            <w:vAlign w:val="center"/>
          </w:tcPr>
          <w:p>
            <w:pPr>
              <w:pStyle w:val="TableContents"/>
              <w:bidi w:val="0"/>
              <w:spacing w:before="0" w:after="283"/>
              <w:ind w:left="0" w:right="0" w:hanging="0"/>
              <w:jc w:val="left"/>
              <w:rPr/>
            </w:pPr>
            <w:r>
              <w:rPr/>
              <w:t> </w:t>
            </w:r>
          </w:p>
        </w:tc>
        <w:tc>
          <w:tcPr>
            <w:tcW w:w="1875" w:type="dxa"/>
            <w:tcBorders/>
            <w:vAlign w:val="center"/>
          </w:tcPr>
          <w:p>
            <w:pPr>
              <w:pStyle w:val="TableContents"/>
              <w:bidi w:val="0"/>
              <w:spacing w:before="0" w:after="283"/>
              <w:ind w:left="0" w:right="0" w:hanging="0"/>
              <w:jc w:val="left"/>
              <w:rPr/>
            </w:pPr>
            <w:r>
              <w:rPr/>
              <w:t>Name:</w:t>
            </w:r>
          </w:p>
        </w:tc>
        <w:tc>
          <w:tcPr>
            <w:tcW w:w="383" w:type="dxa"/>
            <w:tcBorders/>
            <w:vAlign w:val="center"/>
          </w:tcPr>
          <w:p>
            <w:pPr>
              <w:pStyle w:val="TableContents"/>
              <w:bidi w:val="0"/>
              <w:spacing w:before="0" w:after="283"/>
              <w:ind w:left="0" w:right="0" w:hanging="0"/>
              <w:jc w:val="left"/>
              <w:rPr/>
            </w:pPr>
            <w:r>
              <w:rPr/>
              <w:t>  </w:t>
            </w:r>
          </w:p>
        </w:tc>
        <w:tc>
          <w:tcPr>
            <w:tcW w:w="75" w:type="dxa"/>
            <w:tcBorders/>
            <w:vAlign w:val="center"/>
          </w:tcPr>
          <w:p>
            <w:pPr>
              <w:pStyle w:val="TableContents"/>
              <w:bidi w:val="0"/>
              <w:spacing w:before="0" w:after="283"/>
              <w:ind w:left="0" w:right="0" w:hanging="0"/>
              <w:jc w:val="left"/>
              <w:rPr/>
            </w:pPr>
            <w:r>
              <w:rPr/>
              <w:t> </w:t>
            </w:r>
          </w:p>
        </w:tc>
      </w:tr>
      <w:tr>
        <w:trPr/>
        <w:tc>
          <w:tcPr>
            <w:tcW w:w="1015" w:type="dxa"/>
            <w:tcBorders/>
            <w:vAlign w:val="center"/>
          </w:tcPr>
          <w:p>
            <w:pPr>
              <w:pStyle w:val="TableContents"/>
              <w:bidi w:val="0"/>
              <w:spacing w:before="0" w:after="283"/>
              <w:ind w:left="0" w:right="0" w:hanging="0"/>
              <w:jc w:val="left"/>
              <w:rPr/>
            </w:pPr>
            <w:r>
              <w:rPr/>
              <w:t> </w:t>
            </w:r>
          </w:p>
        </w:tc>
        <w:tc>
          <w:tcPr>
            <w:tcW w:w="1875" w:type="dxa"/>
            <w:tcBorders/>
            <w:vAlign w:val="center"/>
          </w:tcPr>
          <w:p>
            <w:pPr>
              <w:pStyle w:val="TableContents"/>
              <w:bidi w:val="0"/>
              <w:spacing w:before="0" w:after="283"/>
              <w:ind w:left="0" w:right="0" w:hanging="0"/>
              <w:jc w:val="left"/>
              <w:rPr/>
            </w:pPr>
            <w:r>
              <w:rPr/>
              <w:t>Title:</w:t>
            </w:r>
          </w:p>
        </w:tc>
        <w:tc>
          <w:tcPr>
            <w:tcW w:w="383" w:type="dxa"/>
            <w:tcBorders/>
            <w:vAlign w:val="center"/>
          </w:tcPr>
          <w:p>
            <w:pPr>
              <w:pStyle w:val="TableContents"/>
              <w:bidi w:val="0"/>
              <w:spacing w:before="0" w:after="283"/>
              <w:ind w:left="0" w:right="0" w:hanging="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Amendment No. 1 to the Sales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Parties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Kimble (jkimble@jakks.net)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The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Ammaturo (sammaturo@brileysecurities.com)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Keith Pompliano (kpompliano@brileysecurities.com)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ATMdesk (atmdesk@brileysecurities.com)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35" w:name="jakkex23-1.htm"/>
      <w:bookmarkStart w:id="36" w:name="ksjakkex231"/>
      <w:bookmarkEnd w:id="35"/>
      <w:bookmarkEnd w:id="36"/>
      <w:r>
        <w:rPr>
          <w:b/>
        </w:rPr>
        <w:t>Exhibit 23.1</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Consent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the Prospectus constituting a part of this Registration Statement of our reports dated March 2, 2026, relating to the consolidated financial statements and the effectiveness of internal control over financial reporting, of JAKKS Pacific, Inc. (the Company) appearing in the Company’s Annual Report on Form 10-K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us under the caption “Experts” in the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val="false"/>
          <w:dstrike w:val="false"/>
          <w:sz w:val="20"/>
          <w:u w:val="none"/>
          <w:effect w:val="none"/>
        </w:rPr>
        <w:t xml:space="preserve">/s/ </w:t>
      </w:r>
      <w:r>
        <w:rPr>
          <w:rFonts w:ascii="Times New Roman;Times;Serif" w:hAnsi="Times New Roman;Times;Serif"/>
          <w:b w:val="false"/>
          <w:i w:val="false"/>
          <w:caps w:val="false"/>
          <w:smallCaps w:val="false"/>
          <w:sz w:val="20"/>
        </w:rPr>
        <w:t>BDO USA, P.C.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California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40"/>
        <w:jc w:val="right"/>
        <w:rPr>
          <w:rFonts w:ascii="Times New Roman;Times;Serif" w:hAnsi="Times New Roman;Times;Serif"/>
          <w:b/>
          <w:i w:val="false"/>
          <w:caps w:val="false"/>
          <w:smallCaps w:val="false"/>
          <w:sz w:val="24"/>
        </w:rPr>
      </w:pPr>
      <w:bookmarkStart w:id="37" w:name="jakkex-fee.htm"/>
      <w:bookmarkStart w:id="38" w:name="ksjakkexfee"/>
      <w:bookmarkEnd w:id="37"/>
      <w:bookmarkEnd w:id="38"/>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S-3</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JAKKS PACIFIC, INC.</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and Carry Forward Securities</w:t>
      </w:r>
    </w:p>
    <w:tbl>
      <w:tblPr>
        <w:tblW w:w="11470" w:type="dxa"/>
        <w:jc w:val="left"/>
        <w:tblInd w:w="0" w:type="dxa"/>
        <w:tblLayout w:type="fixed"/>
        <w:tblCellMar>
          <w:top w:w="0" w:type="dxa"/>
          <w:left w:w="0" w:type="dxa"/>
          <w:bottom w:w="0" w:type="dxa"/>
          <w:right w:w="0" w:type="dxa"/>
        </w:tblCellMar>
      </w:tblPr>
      <w:tblGrid>
        <w:gridCol w:w="1040"/>
        <w:gridCol w:w="60"/>
        <w:gridCol w:w="1160"/>
        <w:gridCol w:w="60"/>
        <w:gridCol w:w="1160"/>
        <w:gridCol w:w="60"/>
        <w:gridCol w:w="575"/>
        <w:gridCol w:w="60"/>
        <w:gridCol w:w="1100"/>
        <w:gridCol w:w="60"/>
        <w:gridCol w:w="1025"/>
        <w:gridCol w:w="60"/>
        <w:gridCol w:w="240"/>
        <w:gridCol w:w="755"/>
        <w:gridCol w:w="60"/>
        <w:gridCol w:w="140"/>
        <w:gridCol w:w="1520"/>
        <w:gridCol w:w="60"/>
        <w:gridCol w:w="1040"/>
        <w:gridCol w:w="60"/>
        <w:gridCol w:w="144"/>
        <w:gridCol w:w="1031"/>
      </w:tblGrid>
      <w:tr>
        <w:trPr/>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left"/>
              <w:rPr/>
            </w:pPr>
            <w:r>
              <w:rPr/>
              <w:t> </w:t>
            </w:r>
          </w:p>
        </w:tc>
      </w:tr>
      <w:tr>
        <w:trPr/>
        <w:tc>
          <w:tcPr>
            <w:tcW w:w="1040" w:type="dxa"/>
            <w:tcBorders>
              <w:bottom w:val="single" w:sz="8" w:space="0" w:color="000000"/>
            </w:tcBorders>
            <w:tcMar>
              <w:bottom w:w="28" w:type="dxa"/>
            </w:tcMar>
            <w:vAlign w:val="center"/>
          </w:tcPr>
          <w:p>
            <w:pPr>
              <w:pStyle w:val="TableContents"/>
              <w:bidi w:val="0"/>
              <w:spacing w:before="0" w:after="283"/>
              <w:jc w:val="left"/>
              <w:rPr/>
            </w:pPr>
            <w:r>
              <w:rPr/>
              <w:t>Line Item Type</w:t>
            </w:r>
          </w:p>
        </w:tc>
        <w:tc>
          <w:tcPr>
            <w:tcW w:w="60" w:type="dxa"/>
            <w:tcBorders/>
            <w:vAlign w:val="center"/>
          </w:tcPr>
          <w:p>
            <w:pPr>
              <w:pStyle w:val="TableContents"/>
              <w:bidi w:val="0"/>
              <w:spacing w:before="0" w:after="283"/>
              <w:jc w:val="left"/>
              <w:rPr/>
            </w:pPr>
            <w:r>
              <w:rPr/>
              <w:t> </w:t>
            </w:r>
          </w:p>
        </w:tc>
        <w:tc>
          <w:tcPr>
            <w:tcW w:w="1160"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1160"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660"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left"/>
              <w:rPr/>
            </w:pPr>
            <w:r>
              <w:rPr/>
              <w:t> </w:t>
            </w:r>
          </w:p>
        </w:tc>
      </w:tr>
      <w:tr>
        <w:trPr/>
        <w:tc>
          <w:tcPr>
            <w:tcW w:w="11470" w:type="dxa"/>
            <w:gridSpan w:val="22"/>
            <w:tcBorders/>
            <w:vAlign w:val="center"/>
          </w:tcPr>
          <w:p>
            <w:pPr>
              <w:pStyle w:val="TableContents"/>
              <w:bidi w:val="0"/>
              <w:spacing w:before="0" w:after="283"/>
              <w:jc w:val="center"/>
              <w:rPr>
                <w:i/>
              </w:rPr>
            </w:pPr>
            <w:r>
              <w:rPr>
                <w:i/>
              </w:rPr>
              <w:t>Newly Registered Securities</w:t>
            </w:r>
          </w:p>
        </w:tc>
      </w:tr>
      <w:tr>
        <w:trPr/>
        <w:tc>
          <w:tcPr>
            <w:tcW w:w="104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Debt</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Debt Securities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0.00</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right"/>
              <w:rPr/>
            </w:pPr>
            <w:r>
              <w:rPr/>
              <w:t>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w:t>
            </w:r>
          </w:p>
        </w:tc>
        <w:tc>
          <w:tcPr>
            <w:tcW w:w="1031" w:type="dxa"/>
            <w:tcBorders/>
            <w:vAlign w:val="center"/>
          </w:tcPr>
          <w:p>
            <w:pPr>
              <w:pStyle w:val="TableContents"/>
              <w:bidi w:val="0"/>
              <w:spacing w:before="0" w:after="283"/>
              <w:jc w:val="right"/>
              <w:rPr/>
            </w:pPr>
            <w:r>
              <w:rPr/>
              <w:t>0.00</w:t>
            </w:r>
          </w:p>
        </w:tc>
      </w:tr>
      <w:tr>
        <w:trPr/>
        <w:tc>
          <w:tcPr>
            <w:tcW w:w="104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Common Stock, par value $0.001 per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(2)</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0.00</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0.00</w:t>
            </w:r>
          </w:p>
        </w:tc>
      </w:tr>
      <w:tr>
        <w:trPr/>
        <w:tc>
          <w:tcPr>
            <w:tcW w:w="104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Preferred Stock, par value $0.001 per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(3)</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0.00</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0.00</w:t>
            </w:r>
          </w:p>
        </w:tc>
      </w:tr>
      <w:tr>
        <w:trPr/>
        <w:tc>
          <w:tcPr>
            <w:tcW w:w="104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Other</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Units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(4)</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0.00</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0.00</w:t>
            </w:r>
          </w:p>
        </w:tc>
      </w:tr>
      <w:tr>
        <w:trPr/>
        <w:tc>
          <w:tcPr>
            <w:tcW w:w="104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Other</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Warrants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(5)</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0.00</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0.00</w:t>
            </w:r>
          </w:p>
        </w:tc>
      </w:tr>
      <w:tr>
        <w:trPr/>
        <w:tc>
          <w:tcPr>
            <w:tcW w:w="104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Other</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Rights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(6)</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0.00</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0.00</w:t>
            </w:r>
          </w:p>
        </w:tc>
      </w:tr>
      <w:tr>
        <w:trPr/>
        <w:tc>
          <w:tcPr>
            <w:tcW w:w="104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Unallocated (Universal) Shelf</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Unallocated (Universal) Shelf</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(7)</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116,491,093.00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16,087.42</w:t>
            </w:r>
          </w:p>
        </w:tc>
      </w:tr>
      <w:tr>
        <w:trPr/>
        <w:tc>
          <w:tcPr>
            <w:tcW w:w="1040" w:type="dxa"/>
            <w:tcBorders/>
            <w:vAlign w:val="center"/>
          </w:tcPr>
          <w:p>
            <w:pPr>
              <w:pStyle w:val="TableContents"/>
              <w:bidi w:val="0"/>
              <w:spacing w:before="0" w:after="283"/>
              <w:jc w:val="left"/>
              <w:rPr/>
            </w:pPr>
            <w:r>
              <w:rPr/>
              <w:t>Fees Previously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Unallocated (Universal) Shelf</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Unallocated (Universal) Shelf</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(8)</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right"/>
              <w:rPr/>
            </w:pPr>
            <w:r>
              <w:rPr/>
              <w:t>33,508,907.00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w:t>
            </w:r>
          </w:p>
        </w:tc>
        <w:tc>
          <w:tcPr>
            <w:tcW w:w="1031" w:type="dxa"/>
            <w:tcBorders/>
            <w:vAlign w:val="center"/>
          </w:tcPr>
          <w:p>
            <w:pPr>
              <w:pStyle w:val="TableContents"/>
              <w:bidi w:val="0"/>
              <w:spacing w:before="0" w:after="283"/>
              <w:jc w:val="right"/>
              <w:rPr/>
            </w:pPr>
            <w:r>
              <w:rPr/>
              <w:t>4,627.58</w:t>
            </w:r>
          </w:p>
        </w:tc>
      </w:tr>
      <w:tr>
        <w:trPr/>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15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bottom w:val="single" w:sz="8" w:space="0" w:color="000000"/>
            </w:tcBorders>
            <w:tcMar>
              <w:bottom w:w="28" w:type="dxa"/>
            </w:tcMar>
            <w:vAlign w:val="center"/>
          </w:tcPr>
          <w:p>
            <w:pPr>
              <w:pStyle w:val="TableContents"/>
              <w:bidi w:val="0"/>
              <w:spacing w:before="0" w:after="283"/>
              <w:jc w:val="left"/>
              <w:rPr/>
            </w:pPr>
            <w:r>
              <w:rPr/>
              <w:t> </w:t>
            </w:r>
          </w:p>
        </w:tc>
        <w:tc>
          <w:tcPr>
            <w:tcW w:w="1031"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415" w:type="dxa"/>
            <w:gridSpan w:val="14"/>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right"/>
              <w:rPr/>
            </w:pPr>
            <w:r>
              <w:rPr/>
              <w:t>150,000,000.00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20,715.00</w:t>
            </w:r>
          </w:p>
        </w:tc>
      </w:tr>
      <w:tr>
        <w:trPr/>
        <w:tc>
          <w:tcPr>
            <w:tcW w:w="7415" w:type="dxa"/>
            <w:gridSpan w:val="14"/>
            <w:tcBorders/>
            <w:vAlign w:val="center"/>
          </w:tcPr>
          <w:p>
            <w:pPr>
              <w:pStyle w:val="TableContents"/>
              <w:bidi w:val="0"/>
              <w:spacing w:before="0" w:after="283"/>
              <w:jc w:val="right"/>
              <w:rPr/>
            </w:pPr>
            <w:r>
              <w:rPr/>
              <w:t>Total Fees Previously Paid:</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4,627.58</w:t>
            </w:r>
          </w:p>
        </w:tc>
      </w:tr>
      <w:tr>
        <w:trPr/>
        <w:tc>
          <w:tcPr>
            <w:tcW w:w="7415" w:type="dxa"/>
            <w:gridSpan w:val="14"/>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bottom w:val="single" w:sz="8" w:space="0" w:color="000000"/>
            </w:tcBorders>
            <w:tcMar>
              <w:bottom w:w="28" w:type="dxa"/>
            </w:tcMar>
            <w:vAlign w:val="center"/>
          </w:tcPr>
          <w:p>
            <w:pPr>
              <w:pStyle w:val="TableContents"/>
              <w:bidi w:val="0"/>
              <w:spacing w:before="0" w:after="283"/>
              <w:jc w:val="left"/>
              <w:rPr/>
            </w:pPr>
            <w:r>
              <w:rPr/>
              <w:t> </w:t>
            </w:r>
          </w:p>
        </w:tc>
        <w:tc>
          <w:tcPr>
            <w:tcW w:w="1031" w:type="dxa"/>
            <w:tcBorders>
              <w:bottom w:val="single" w:sz="8" w:space="0" w:color="000000"/>
            </w:tcBorders>
            <w:tcMar>
              <w:bottom w:w="28" w:type="dxa"/>
            </w:tcMar>
            <w:vAlign w:val="center"/>
          </w:tcPr>
          <w:p>
            <w:pPr>
              <w:pStyle w:val="TableContents"/>
              <w:bidi w:val="0"/>
              <w:spacing w:before="0" w:after="283"/>
              <w:jc w:val="right"/>
              <w:rPr/>
            </w:pPr>
            <w:r>
              <w:rPr/>
              <w:t>13,743.04</w:t>
            </w:r>
          </w:p>
        </w:tc>
      </w:tr>
      <w:tr>
        <w:trPr/>
        <w:tc>
          <w:tcPr>
            <w:tcW w:w="7415" w:type="dxa"/>
            <w:gridSpan w:val="14"/>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bottom w:val="double" w:sz="8" w:space="0" w:color="000000"/>
            </w:tcBorders>
            <w:tcMar>
              <w:bottom w:w="28" w:type="dxa"/>
            </w:tcMar>
            <w:vAlign w:val="center"/>
          </w:tcPr>
          <w:p>
            <w:pPr>
              <w:pStyle w:val="TableContents"/>
              <w:bidi w:val="0"/>
              <w:spacing w:before="0" w:after="283"/>
              <w:jc w:val="left"/>
              <w:rPr/>
            </w:pPr>
            <w:r>
              <w:rPr/>
              <w:t>$</w:t>
            </w:r>
          </w:p>
        </w:tc>
        <w:tc>
          <w:tcPr>
            <w:tcW w:w="1031" w:type="dxa"/>
            <w:tcBorders>
              <w:bottom w:val="double" w:sz="8" w:space="0" w:color="000000"/>
            </w:tcBorders>
            <w:tcMar>
              <w:bottom w:w="28" w:type="dxa"/>
            </w:tcMar>
            <w:vAlign w:val="center"/>
          </w:tcPr>
          <w:p>
            <w:pPr>
              <w:pStyle w:val="TableContents"/>
              <w:bidi w:val="0"/>
              <w:spacing w:before="0" w:after="283"/>
              <w:jc w:val="right"/>
              <w:rPr/>
            </w:pPr>
            <w:r>
              <w:rPr/>
              <w:t>2,344.38</w:t>
            </w:r>
          </w:p>
        </w:tc>
      </w:tr>
    </w:tbl>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37"/>
        <w:gridCol w:w="23"/>
        <w:gridCol w:w="9945"/>
      </w:tblGrid>
      <w:tr>
        <w:trPr/>
        <w:tc>
          <w:tcPr>
            <w:tcW w:w="237"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45" w:type="dxa"/>
            <w:tcBorders/>
            <w:vAlign w:val="center"/>
          </w:tcPr>
          <w:p>
            <w:pPr>
              <w:pStyle w:val="TableContents"/>
              <w:bidi w:val="0"/>
              <w:spacing w:before="0" w:after="283"/>
              <w:jc w:val="both"/>
              <w:rPr/>
            </w:pPr>
            <w:r>
              <w:rPr/>
              <w:t>Pursuant to Instruction 2.A(iii)(b) of Item 16(b) of Form S-3, this information is not required to be included. An indeterminate amount of the securities of each identified class is being registered as may from time to time be offered under this registration statement at indeterminate prices, along with an indeterminate number of securities that may be issued upon exercise, settlement, exchange or conversion of securities offered or sold under this registrations statement, as shall have an aggregate initial offering price up to $150,000,000. Pursuant to Rule 416 under the Securities Act of 1933, as amended, or the Securities Act, this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w:t>
            </w:r>
          </w:p>
        </w:tc>
      </w:tr>
    </w:tbl>
    <w:tbl>
      <w:tblPr>
        <w:tblW w:w="10205" w:type="dxa"/>
        <w:jc w:val="left"/>
        <w:tblInd w:w="0" w:type="dxa"/>
        <w:tblLayout w:type="fixed"/>
        <w:tblCellMar>
          <w:top w:w="0" w:type="dxa"/>
          <w:left w:w="0" w:type="dxa"/>
          <w:bottom w:w="0" w:type="dxa"/>
          <w:right w:w="0" w:type="dxa"/>
        </w:tblCellMar>
      </w:tblPr>
      <w:tblGrid>
        <w:gridCol w:w="237"/>
        <w:gridCol w:w="23"/>
        <w:gridCol w:w="9945"/>
      </w:tblGrid>
      <w:tr>
        <w:trPr/>
        <w:tc>
          <w:tcPr>
            <w:tcW w:w="237" w:type="dxa"/>
            <w:tcBorders/>
            <w:vAlign w:val="center"/>
          </w:tcPr>
          <w:p>
            <w:pPr>
              <w:pStyle w:val="TableContents"/>
              <w:bidi w:val="0"/>
              <w:spacing w:before="0" w:after="283"/>
              <w:jc w:val="right"/>
              <w:rPr/>
            </w:pPr>
            <w:r>
              <w:rPr/>
              <w:t>(2)</w:t>
            </w:r>
          </w:p>
        </w:tc>
        <w:tc>
          <w:tcPr>
            <w:tcW w:w="23" w:type="dxa"/>
            <w:tcBorders/>
            <w:vAlign w:val="center"/>
          </w:tcPr>
          <w:p>
            <w:pPr>
              <w:pStyle w:val="TableContents"/>
              <w:bidi w:val="0"/>
              <w:spacing w:before="0" w:after="283"/>
              <w:jc w:val="left"/>
              <w:rPr>
                <w:sz w:val="4"/>
                <w:szCs w:val="4"/>
              </w:rPr>
            </w:pPr>
            <w:r>
              <w:rPr>
                <w:sz w:val="4"/>
                <w:szCs w:val="4"/>
              </w:rPr>
            </w:r>
          </w:p>
        </w:tc>
        <w:tc>
          <w:tcPr>
            <w:tcW w:w="9945" w:type="dxa"/>
            <w:tcBorders/>
            <w:vAlign w:val="center"/>
          </w:tcPr>
          <w:p>
            <w:pPr>
              <w:pStyle w:val="TableContents"/>
              <w:bidi w:val="0"/>
              <w:spacing w:before="0" w:after="283"/>
              <w:jc w:val="both"/>
              <w:rPr/>
            </w:pPr>
            <w:r>
              <w:rPr/>
              <w:t>Pursuant to Instruction 2.A(iii)(b) of Item 16(b) of Form S-3, this information is not required to be included. An indeterminate amount of the securities of each identified class is being registered as may from time to time be offered under this registration statement at indeterminate prices, along with an indeterminate number of securities that may be issued upon exercise, settlement, exchange or conversion of securities offered or sold under this registrations statement, as shall have an aggregate initial offering price up to $150,000,000. Pursuant to Rule 416 under the Securities Act of 1933, as amended, or the Securities Act, this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w:t>
            </w:r>
          </w:p>
        </w:tc>
      </w:tr>
    </w:tbl>
    <w:tbl>
      <w:tblPr>
        <w:tblW w:w="10205" w:type="dxa"/>
        <w:jc w:val="left"/>
        <w:tblInd w:w="0" w:type="dxa"/>
        <w:tblLayout w:type="fixed"/>
        <w:tblCellMar>
          <w:top w:w="0" w:type="dxa"/>
          <w:left w:w="0" w:type="dxa"/>
          <w:bottom w:w="0" w:type="dxa"/>
          <w:right w:w="0" w:type="dxa"/>
        </w:tblCellMar>
      </w:tblPr>
      <w:tblGrid>
        <w:gridCol w:w="237"/>
        <w:gridCol w:w="23"/>
        <w:gridCol w:w="9945"/>
      </w:tblGrid>
      <w:tr>
        <w:trPr/>
        <w:tc>
          <w:tcPr>
            <w:tcW w:w="237" w:type="dxa"/>
            <w:tcBorders/>
            <w:vAlign w:val="center"/>
          </w:tcPr>
          <w:p>
            <w:pPr>
              <w:pStyle w:val="TableContents"/>
              <w:bidi w:val="0"/>
              <w:spacing w:before="0" w:after="283"/>
              <w:jc w:val="right"/>
              <w:rPr/>
            </w:pPr>
            <w:r>
              <w:rPr/>
              <w:t>(3)</w:t>
            </w:r>
          </w:p>
        </w:tc>
        <w:tc>
          <w:tcPr>
            <w:tcW w:w="23" w:type="dxa"/>
            <w:tcBorders/>
            <w:vAlign w:val="center"/>
          </w:tcPr>
          <w:p>
            <w:pPr>
              <w:pStyle w:val="TableContents"/>
              <w:bidi w:val="0"/>
              <w:spacing w:before="0" w:after="283"/>
              <w:jc w:val="left"/>
              <w:rPr>
                <w:sz w:val="4"/>
                <w:szCs w:val="4"/>
              </w:rPr>
            </w:pPr>
            <w:r>
              <w:rPr>
                <w:sz w:val="4"/>
                <w:szCs w:val="4"/>
              </w:rPr>
            </w:r>
          </w:p>
        </w:tc>
        <w:tc>
          <w:tcPr>
            <w:tcW w:w="9945" w:type="dxa"/>
            <w:tcBorders/>
            <w:vAlign w:val="center"/>
          </w:tcPr>
          <w:p>
            <w:pPr>
              <w:pStyle w:val="TableContents"/>
              <w:bidi w:val="0"/>
              <w:spacing w:before="0" w:after="283"/>
              <w:jc w:val="both"/>
              <w:rPr/>
            </w:pPr>
            <w:r>
              <w:rPr/>
              <w:t>Pursuant to Instruction 2.A(iii)(b) of Item 16(b) of Form S-3, this information is not required to be included. An indeterminate amount of the securities of each identified class is being registered as may from time to time be offered under this registration statement at indeterminate prices, along with an indeterminate number of securities that may be issued upon exercise, settlement, exchange or conversion of securities offered or sold under this registrations statement, as shall have an aggregate initial offering price up to $150,000,000. Pursuant to Rule 416 under the Securities Act of 1933, as amended, or the Securities Act, this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w:t>
            </w:r>
          </w:p>
        </w:tc>
      </w:tr>
    </w:tbl>
    <w:tbl>
      <w:tblPr>
        <w:tblW w:w="10205" w:type="dxa"/>
        <w:jc w:val="left"/>
        <w:tblInd w:w="0" w:type="dxa"/>
        <w:tblLayout w:type="fixed"/>
        <w:tblCellMar>
          <w:top w:w="0" w:type="dxa"/>
          <w:left w:w="0" w:type="dxa"/>
          <w:bottom w:w="0" w:type="dxa"/>
          <w:right w:w="0" w:type="dxa"/>
        </w:tblCellMar>
      </w:tblPr>
      <w:tblGrid>
        <w:gridCol w:w="237"/>
        <w:gridCol w:w="23"/>
        <w:gridCol w:w="9945"/>
      </w:tblGrid>
      <w:tr>
        <w:trPr/>
        <w:tc>
          <w:tcPr>
            <w:tcW w:w="237" w:type="dxa"/>
            <w:tcBorders/>
            <w:vAlign w:val="center"/>
          </w:tcPr>
          <w:p>
            <w:pPr>
              <w:pStyle w:val="TableContents"/>
              <w:bidi w:val="0"/>
              <w:spacing w:before="0" w:after="283"/>
              <w:jc w:val="right"/>
              <w:rPr/>
            </w:pPr>
            <w:r>
              <w:rPr/>
              <w:t>(4)</w:t>
            </w:r>
          </w:p>
        </w:tc>
        <w:tc>
          <w:tcPr>
            <w:tcW w:w="23" w:type="dxa"/>
            <w:tcBorders/>
            <w:vAlign w:val="center"/>
          </w:tcPr>
          <w:p>
            <w:pPr>
              <w:pStyle w:val="TableContents"/>
              <w:bidi w:val="0"/>
              <w:spacing w:before="0" w:after="283"/>
              <w:jc w:val="left"/>
              <w:rPr>
                <w:sz w:val="4"/>
                <w:szCs w:val="4"/>
              </w:rPr>
            </w:pPr>
            <w:r>
              <w:rPr>
                <w:sz w:val="4"/>
                <w:szCs w:val="4"/>
              </w:rPr>
            </w:r>
          </w:p>
        </w:tc>
        <w:tc>
          <w:tcPr>
            <w:tcW w:w="9945" w:type="dxa"/>
            <w:tcBorders/>
            <w:vAlign w:val="center"/>
          </w:tcPr>
          <w:p>
            <w:pPr>
              <w:pStyle w:val="TableContents"/>
              <w:bidi w:val="0"/>
              <w:spacing w:before="0" w:after="283"/>
              <w:jc w:val="both"/>
              <w:rPr/>
            </w:pPr>
            <w:r>
              <w:rPr/>
              <w:t>Pursuant to Instruction 2.A(iii)(b) of Item 16(b) of Form S-3, this information is not required to be included. An indeterminate amount of the securities of each identified class is being registered as may from time to time be offered under this registration statement at indeterminate prices, along with an indeterminate number of securities that may be issued upon exercise, settlement, exchange or conversion of securities offered or sold under this registrations statement, as shall have an aggregate initial offering price up to $150,000,000. Pursuant to Rule 416 under the Securities Act of 1933, as amended, or the Securities Act, this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w:t>
              <w:br/>
              <w:br/>
              <w:t>Units may be issued under a unit agreement and will represent an interest in one or more securities registered under this registration statement including shares of common stock or preferred stock, debt securities or warrants, in any combination, which may or may not be separable from one another.</w:t>
            </w:r>
          </w:p>
        </w:tc>
      </w:tr>
    </w:tbl>
    <w:tbl>
      <w:tblPr>
        <w:tblW w:w="10205" w:type="dxa"/>
        <w:jc w:val="left"/>
        <w:tblInd w:w="0" w:type="dxa"/>
        <w:tblLayout w:type="fixed"/>
        <w:tblCellMar>
          <w:top w:w="0" w:type="dxa"/>
          <w:left w:w="0" w:type="dxa"/>
          <w:bottom w:w="0" w:type="dxa"/>
          <w:right w:w="0" w:type="dxa"/>
        </w:tblCellMar>
      </w:tblPr>
      <w:tblGrid>
        <w:gridCol w:w="237"/>
        <w:gridCol w:w="23"/>
        <w:gridCol w:w="9945"/>
      </w:tblGrid>
      <w:tr>
        <w:trPr/>
        <w:tc>
          <w:tcPr>
            <w:tcW w:w="237" w:type="dxa"/>
            <w:tcBorders/>
            <w:vAlign w:val="center"/>
          </w:tcPr>
          <w:p>
            <w:pPr>
              <w:pStyle w:val="TableContents"/>
              <w:bidi w:val="0"/>
              <w:spacing w:before="0" w:after="283"/>
              <w:jc w:val="right"/>
              <w:rPr/>
            </w:pPr>
            <w:r>
              <w:rPr/>
              <w:t>(5)</w:t>
            </w:r>
          </w:p>
        </w:tc>
        <w:tc>
          <w:tcPr>
            <w:tcW w:w="23" w:type="dxa"/>
            <w:tcBorders/>
            <w:vAlign w:val="center"/>
          </w:tcPr>
          <w:p>
            <w:pPr>
              <w:pStyle w:val="TableContents"/>
              <w:bidi w:val="0"/>
              <w:spacing w:before="0" w:after="283"/>
              <w:jc w:val="left"/>
              <w:rPr>
                <w:sz w:val="4"/>
                <w:szCs w:val="4"/>
              </w:rPr>
            </w:pPr>
            <w:r>
              <w:rPr>
                <w:sz w:val="4"/>
                <w:szCs w:val="4"/>
              </w:rPr>
            </w:r>
          </w:p>
        </w:tc>
        <w:tc>
          <w:tcPr>
            <w:tcW w:w="9945" w:type="dxa"/>
            <w:tcBorders/>
            <w:vAlign w:val="center"/>
          </w:tcPr>
          <w:p>
            <w:pPr>
              <w:pStyle w:val="TableContents"/>
              <w:bidi w:val="0"/>
              <w:spacing w:before="0" w:after="283"/>
              <w:jc w:val="both"/>
              <w:rPr/>
            </w:pPr>
            <w:r>
              <w:rPr/>
              <w:t>Pursuant to Instruction 2.A(iii)(b) of Item 16(b) of Form S-3, this information is not required to be included. An indeterminate amount of the securities of each identified class is being registered as may from time to time be offered under this registration statement at indeterminate prices, along with an indeterminate number of securities that may be issued upon exercise, settlement, exchange or conversion of securities offered or sold under this registrations statement, as shall have an aggregate initial offering price up to $150,000,000. Pursuant to Rule 416 under the Securities Act of 1933, as amended, or the Securities Act, this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w:t>
            </w:r>
          </w:p>
        </w:tc>
      </w:tr>
    </w:tbl>
    <w:tbl>
      <w:tblPr>
        <w:tblW w:w="10205" w:type="dxa"/>
        <w:jc w:val="left"/>
        <w:tblInd w:w="0" w:type="dxa"/>
        <w:tblLayout w:type="fixed"/>
        <w:tblCellMar>
          <w:top w:w="0" w:type="dxa"/>
          <w:left w:w="0" w:type="dxa"/>
          <w:bottom w:w="0" w:type="dxa"/>
          <w:right w:w="0" w:type="dxa"/>
        </w:tblCellMar>
      </w:tblPr>
      <w:tblGrid>
        <w:gridCol w:w="237"/>
        <w:gridCol w:w="23"/>
        <w:gridCol w:w="9945"/>
      </w:tblGrid>
      <w:tr>
        <w:trPr/>
        <w:tc>
          <w:tcPr>
            <w:tcW w:w="237" w:type="dxa"/>
            <w:tcBorders/>
            <w:vAlign w:val="center"/>
          </w:tcPr>
          <w:p>
            <w:pPr>
              <w:pStyle w:val="TableContents"/>
              <w:bidi w:val="0"/>
              <w:spacing w:before="0" w:after="283"/>
              <w:jc w:val="right"/>
              <w:rPr/>
            </w:pPr>
            <w:r>
              <w:rPr/>
              <w:t>(6)</w:t>
            </w:r>
          </w:p>
        </w:tc>
        <w:tc>
          <w:tcPr>
            <w:tcW w:w="23" w:type="dxa"/>
            <w:tcBorders/>
            <w:vAlign w:val="center"/>
          </w:tcPr>
          <w:p>
            <w:pPr>
              <w:pStyle w:val="TableContents"/>
              <w:bidi w:val="0"/>
              <w:spacing w:before="0" w:after="283"/>
              <w:jc w:val="left"/>
              <w:rPr>
                <w:sz w:val="4"/>
                <w:szCs w:val="4"/>
              </w:rPr>
            </w:pPr>
            <w:r>
              <w:rPr>
                <w:sz w:val="4"/>
                <w:szCs w:val="4"/>
              </w:rPr>
            </w:r>
          </w:p>
        </w:tc>
        <w:tc>
          <w:tcPr>
            <w:tcW w:w="9945" w:type="dxa"/>
            <w:tcBorders/>
            <w:vAlign w:val="center"/>
          </w:tcPr>
          <w:p>
            <w:pPr>
              <w:pStyle w:val="TableContents"/>
              <w:bidi w:val="0"/>
              <w:spacing w:before="0" w:after="283"/>
              <w:jc w:val="both"/>
              <w:rPr/>
            </w:pPr>
            <w:r>
              <w:rPr/>
              <w:t>Pursuant to Instruction 2.A(iii)(b) of Item 16(b) of Form S-3, this information is not required to be included. An indeterminate amount of the securities of each identified class is being registered as may from time to time be offered under this registration statement at indeterminate prices, along with an indeterminate number of securities that may be issued upon exercise, settlement, exchange or conversion of securities offered or sold under this registrations statement, as shall have an aggregate initial offering price up to $150,000,000. Pursuant to Rule 416 under the Securities Act of 1933, as amended, or the Securities Act, this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w:t>
            </w:r>
          </w:p>
        </w:tc>
      </w:tr>
    </w:tbl>
    <w:tbl>
      <w:tblPr>
        <w:tblW w:w="10205" w:type="dxa"/>
        <w:jc w:val="left"/>
        <w:tblInd w:w="0" w:type="dxa"/>
        <w:tblLayout w:type="fixed"/>
        <w:tblCellMar>
          <w:top w:w="0" w:type="dxa"/>
          <w:left w:w="0" w:type="dxa"/>
          <w:bottom w:w="0" w:type="dxa"/>
          <w:right w:w="0" w:type="dxa"/>
        </w:tblCellMar>
      </w:tblPr>
      <w:tblGrid>
        <w:gridCol w:w="237"/>
        <w:gridCol w:w="23"/>
        <w:gridCol w:w="9945"/>
      </w:tblGrid>
      <w:tr>
        <w:trPr/>
        <w:tc>
          <w:tcPr>
            <w:tcW w:w="237" w:type="dxa"/>
            <w:tcBorders/>
            <w:vAlign w:val="center"/>
          </w:tcPr>
          <w:p>
            <w:pPr>
              <w:pStyle w:val="TableContents"/>
              <w:bidi w:val="0"/>
              <w:spacing w:before="0" w:after="283"/>
              <w:jc w:val="right"/>
              <w:rPr/>
            </w:pPr>
            <w:r>
              <w:rPr/>
              <w:t>(7)</w:t>
            </w:r>
          </w:p>
        </w:tc>
        <w:tc>
          <w:tcPr>
            <w:tcW w:w="23" w:type="dxa"/>
            <w:tcBorders/>
            <w:vAlign w:val="center"/>
          </w:tcPr>
          <w:p>
            <w:pPr>
              <w:pStyle w:val="TableContents"/>
              <w:bidi w:val="0"/>
              <w:spacing w:before="0" w:after="283"/>
              <w:jc w:val="left"/>
              <w:rPr>
                <w:sz w:val="4"/>
                <w:szCs w:val="4"/>
              </w:rPr>
            </w:pPr>
            <w:r>
              <w:rPr>
                <w:sz w:val="4"/>
                <w:szCs w:val="4"/>
              </w:rPr>
            </w:r>
          </w:p>
        </w:tc>
        <w:tc>
          <w:tcPr>
            <w:tcW w:w="9945" w:type="dxa"/>
            <w:tcBorders/>
            <w:vAlign w:val="center"/>
          </w:tcPr>
          <w:p>
            <w:pPr>
              <w:pStyle w:val="TableContents"/>
              <w:bidi w:val="0"/>
              <w:spacing w:before="0" w:after="283"/>
              <w:jc w:val="both"/>
              <w:rPr/>
            </w:pPr>
            <w:r>
              <w:rPr/>
              <w:t>Pursuant to Instruction 2.A(iii)(b) of Item 16(b) of Form S-3, this information is not required to be included. An indeterminate amount of the securities of each identified class is being registered as may from time to time be offered under this registration statement at indeterminate prices, along with an indeterminate number of securities that may be issued upon exercise, settlement, exchange or conversion of securities offered or sold under this registrations statement, as shall have an aggregate initial offering price up to $150,000,000. Pursuant to Rule 416 under the Securities Act of 1933, as amended, or the Securities Act, this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w:t>
            </w:r>
          </w:p>
        </w:tc>
      </w:tr>
    </w:tbl>
    <w:tbl>
      <w:tblPr>
        <w:tblW w:w="10205" w:type="dxa"/>
        <w:jc w:val="left"/>
        <w:tblInd w:w="0" w:type="dxa"/>
        <w:tblLayout w:type="fixed"/>
        <w:tblCellMar>
          <w:top w:w="0" w:type="dxa"/>
          <w:left w:w="0" w:type="dxa"/>
          <w:bottom w:w="0" w:type="dxa"/>
          <w:right w:w="0" w:type="dxa"/>
        </w:tblCellMar>
      </w:tblPr>
      <w:tblGrid>
        <w:gridCol w:w="284"/>
        <w:gridCol w:w="23"/>
        <w:gridCol w:w="9898"/>
      </w:tblGrid>
      <w:tr>
        <w:trPr/>
        <w:tc>
          <w:tcPr>
            <w:tcW w:w="284" w:type="dxa"/>
            <w:tcBorders/>
            <w:vAlign w:val="center"/>
          </w:tcPr>
          <w:p>
            <w:pPr>
              <w:pStyle w:val="TableContents"/>
              <w:bidi w:val="0"/>
              <w:spacing w:before="0" w:after="283"/>
              <w:jc w:val="right"/>
              <w:rPr/>
            </w:pPr>
            <w:r>
              <w:rPr/>
              <w:t>(8)</w:t>
            </w:r>
          </w:p>
        </w:tc>
        <w:tc>
          <w:tcPr>
            <w:tcW w:w="23" w:type="dxa"/>
            <w:tcBorders/>
            <w:vAlign w:val="center"/>
          </w:tcPr>
          <w:p>
            <w:pPr>
              <w:pStyle w:val="TableContents"/>
              <w:bidi w:val="0"/>
              <w:spacing w:before="0" w:after="283"/>
              <w:jc w:val="left"/>
              <w:rPr>
                <w:sz w:val="4"/>
                <w:szCs w:val="4"/>
              </w:rPr>
            </w:pPr>
            <w:r>
              <w:rPr>
                <w:sz w:val="4"/>
                <w:szCs w:val="4"/>
              </w:rPr>
            </w:r>
          </w:p>
        </w:tc>
        <w:tc>
          <w:tcPr>
            <w:tcW w:w="9898" w:type="dxa"/>
            <w:tcBorders/>
            <w:vAlign w:val="center"/>
          </w:tcPr>
          <w:p>
            <w:pPr>
              <w:pStyle w:val="TableContents"/>
              <w:bidi w:val="0"/>
              <w:spacing w:before="0" w:after="283"/>
              <w:jc w:val="both"/>
              <w:rPr/>
            </w:pPr>
            <w:r>
              <w:rPr/>
              <w:t>Reflects the Company’s fees previously paid of $4,627.58 with initial filing of this registration statement on Form S-3 on October 29, 2025.</w:t>
            </w:r>
          </w:p>
        </w:tc>
      </w:tr>
    </w:tbl>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2: Fee Offset Claims and Sources</w:t>
      </w:r>
    </w:p>
    <w:tbl>
      <w:tblPr>
        <w:tblW w:w="12665" w:type="dxa"/>
        <w:jc w:val="left"/>
        <w:tblInd w:w="0" w:type="dxa"/>
        <w:tblLayout w:type="fixed"/>
        <w:tblCellMar>
          <w:top w:w="0" w:type="dxa"/>
          <w:left w:w="0" w:type="dxa"/>
          <w:bottom w:w="0" w:type="dxa"/>
          <w:right w:w="0" w:type="dxa"/>
        </w:tblCellMar>
      </w:tblPr>
      <w:tblGrid>
        <w:gridCol w:w="785"/>
        <w:gridCol w:w="60"/>
        <w:gridCol w:w="980"/>
        <w:gridCol w:w="60"/>
        <w:gridCol w:w="575"/>
        <w:gridCol w:w="60"/>
        <w:gridCol w:w="575"/>
        <w:gridCol w:w="60"/>
        <w:gridCol w:w="800"/>
        <w:gridCol w:w="60"/>
        <w:gridCol w:w="575"/>
        <w:gridCol w:w="60"/>
        <w:gridCol w:w="575"/>
        <w:gridCol w:w="60"/>
        <w:gridCol w:w="140"/>
        <w:gridCol w:w="980"/>
        <w:gridCol w:w="60"/>
        <w:gridCol w:w="1055"/>
        <w:gridCol w:w="60"/>
        <w:gridCol w:w="1055"/>
        <w:gridCol w:w="60"/>
        <w:gridCol w:w="527"/>
        <w:gridCol w:w="528"/>
        <w:gridCol w:w="60"/>
        <w:gridCol w:w="140"/>
        <w:gridCol w:w="1520"/>
        <w:gridCol w:w="60"/>
        <w:gridCol w:w="140"/>
        <w:gridCol w:w="995"/>
      </w:tblGrid>
      <w:tr>
        <w:trPr/>
        <w:tc>
          <w:tcPr>
            <w:tcW w:w="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7"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r>
      <w:tr>
        <w:trPr/>
        <w:tc>
          <w:tcPr>
            <w:tcW w:w="785" w:type="dxa"/>
            <w:tcBorders>
              <w:bottom w:val="single" w:sz="8" w:space="0" w:color="000000"/>
            </w:tcBorders>
            <w:tcMar>
              <w:bottom w:w="28" w:type="dxa"/>
            </w:tcMar>
            <w:vAlign w:val="center"/>
          </w:tcPr>
          <w:p>
            <w:pPr>
              <w:pStyle w:val="TableContents"/>
              <w:bidi w:val="0"/>
              <w:spacing w:before="0" w:after="283"/>
              <w:jc w:val="left"/>
              <w:rPr/>
            </w:pPr>
            <w:r>
              <w:rPr/>
              <w:t>Line Item Type</w:t>
            </w:r>
          </w:p>
        </w:tc>
        <w:tc>
          <w:tcPr>
            <w:tcW w:w="60" w:type="dxa"/>
            <w:tcBorders/>
            <w:vAlign w:val="center"/>
          </w:tcPr>
          <w:p>
            <w:pPr>
              <w:pStyle w:val="TableContents"/>
              <w:bidi w:val="0"/>
              <w:spacing w:before="0" w:after="283"/>
              <w:jc w:val="left"/>
              <w:rPr/>
            </w:pPr>
            <w:r>
              <w:rPr/>
              <w:t> </w:t>
            </w:r>
          </w:p>
        </w:tc>
        <w:tc>
          <w:tcPr>
            <w:tcW w:w="980" w:type="dxa"/>
            <w:tcBorders>
              <w:bottom w:val="single" w:sz="8" w:space="0" w:color="000000"/>
            </w:tcBorders>
            <w:tcMar>
              <w:bottom w:w="28" w:type="dxa"/>
            </w:tcMar>
            <w:vAlign w:val="center"/>
          </w:tcPr>
          <w:p>
            <w:pPr>
              <w:pStyle w:val="TableContents"/>
              <w:bidi w:val="0"/>
              <w:spacing w:before="0" w:after="283"/>
              <w:jc w:val="left"/>
              <w:rPr/>
            </w:pPr>
            <w:r>
              <w:rPr/>
              <w:t xml:space="preserve">Registrant or Filer Name </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 xml:space="preserve">Form or Filing Type </w:t>
            </w:r>
          </w:p>
        </w:tc>
        <w:tc>
          <w:tcPr>
            <w:tcW w:w="6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left"/>
              <w:rPr/>
            </w:pPr>
            <w:r>
              <w:rPr/>
              <w:t xml:space="preserve">File Number </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Initial Filing Date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Filing Date</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left"/>
              <w:rPr/>
            </w:pPr>
            <w:r>
              <w:rPr/>
              <w:t>Fee Offset Claimed</w:t>
            </w:r>
          </w:p>
        </w:tc>
        <w:tc>
          <w:tcPr>
            <w:tcW w:w="60" w:type="dxa"/>
            <w:tcBorders/>
            <w:vAlign w:val="center"/>
          </w:tcPr>
          <w:p>
            <w:pPr>
              <w:pStyle w:val="TableContents"/>
              <w:bidi w:val="0"/>
              <w:spacing w:before="0" w:after="283"/>
              <w:jc w:val="left"/>
              <w:rPr/>
            </w:pPr>
            <w:r>
              <w:rPr/>
              <w:t> </w:t>
            </w:r>
          </w:p>
        </w:tc>
        <w:tc>
          <w:tcPr>
            <w:tcW w:w="1055" w:type="dxa"/>
            <w:tcBorders>
              <w:bottom w:val="single" w:sz="8" w:space="0" w:color="000000"/>
            </w:tcBorders>
            <w:tcMar>
              <w:bottom w:w="28" w:type="dxa"/>
            </w:tcMar>
            <w:vAlign w:val="center"/>
          </w:tcPr>
          <w:p>
            <w:pPr>
              <w:pStyle w:val="TableContents"/>
              <w:bidi w:val="0"/>
              <w:spacing w:before="0" w:after="283"/>
              <w:jc w:val="left"/>
              <w:rPr/>
            </w:pPr>
            <w:r>
              <w:rPr/>
              <w:t>Security Type Associated with Fee Offset Claimed</w:t>
            </w:r>
          </w:p>
        </w:tc>
        <w:tc>
          <w:tcPr>
            <w:tcW w:w="60" w:type="dxa"/>
            <w:tcBorders/>
            <w:vAlign w:val="center"/>
          </w:tcPr>
          <w:p>
            <w:pPr>
              <w:pStyle w:val="TableContents"/>
              <w:bidi w:val="0"/>
              <w:spacing w:before="0" w:after="283"/>
              <w:jc w:val="left"/>
              <w:rPr/>
            </w:pPr>
            <w:r>
              <w:rPr/>
              <w:t> </w:t>
            </w:r>
          </w:p>
        </w:tc>
        <w:tc>
          <w:tcPr>
            <w:tcW w:w="1055" w:type="dxa"/>
            <w:tcBorders>
              <w:bottom w:val="single" w:sz="8" w:space="0" w:color="000000"/>
            </w:tcBorders>
            <w:tcMar>
              <w:bottom w:w="28" w:type="dxa"/>
            </w:tcMar>
            <w:vAlign w:val="center"/>
          </w:tcPr>
          <w:p>
            <w:pPr>
              <w:pStyle w:val="TableContents"/>
              <w:bidi w:val="0"/>
              <w:spacing w:before="0" w:after="283"/>
              <w:jc w:val="left"/>
              <w:rPr/>
            </w:pPr>
            <w:r>
              <w:rPr/>
              <w:t>Security Title Associated with Fee Offset Claimed</w:t>
            </w:r>
          </w:p>
        </w:tc>
        <w:tc>
          <w:tcPr>
            <w:tcW w:w="6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283"/>
              <w:jc w:val="left"/>
              <w:rPr/>
            </w:pPr>
            <w:r>
              <w:rPr/>
              <w:t>Unsold Securities Associated with Fee Offset Claimed</w:t>
            </w:r>
          </w:p>
        </w:tc>
        <w:tc>
          <w:tcPr>
            <w:tcW w:w="60" w:type="dxa"/>
            <w:tcBorders/>
            <w:vAlign w:val="center"/>
          </w:tcPr>
          <w:p>
            <w:pPr>
              <w:pStyle w:val="TableContents"/>
              <w:bidi w:val="0"/>
              <w:spacing w:before="0" w:after="283"/>
              <w:jc w:val="left"/>
              <w:rPr/>
            </w:pPr>
            <w:r>
              <w:rPr/>
              <w:t> </w:t>
            </w:r>
          </w:p>
        </w:tc>
        <w:tc>
          <w:tcPr>
            <w:tcW w:w="1660" w:type="dxa"/>
            <w:gridSpan w:val="2"/>
            <w:tcBorders>
              <w:bottom w:val="single" w:sz="8" w:space="0" w:color="000000"/>
            </w:tcBorders>
            <w:tcMar>
              <w:bottom w:w="28" w:type="dxa"/>
            </w:tcMar>
            <w:vAlign w:val="center"/>
          </w:tcPr>
          <w:p>
            <w:pPr>
              <w:pStyle w:val="TableContents"/>
              <w:bidi w:val="0"/>
              <w:spacing w:before="0" w:after="283"/>
              <w:jc w:val="left"/>
              <w:rPr/>
            </w:pPr>
            <w:r>
              <w:rPr/>
              <w:t>Unsold Aggregate Offering Amount Associated with Fee Offset Claimed</w:t>
            </w:r>
          </w:p>
        </w:tc>
        <w:tc>
          <w:tcPr>
            <w:tcW w:w="60" w:type="dxa"/>
            <w:tcBorders/>
            <w:vAlign w:val="center"/>
          </w:tcPr>
          <w:p>
            <w:pPr>
              <w:pStyle w:val="TableContents"/>
              <w:bidi w:val="0"/>
              <w:spacing w:before="0" w:after="283"/>
              <w:jc w:val="left"/>
              <w:rPr/>
            </w:pPr>
            <w:r>
              <w:rPr/>
              <w:t> </w:t>
            </w:r>
          </w:p>
        </w:tc>
        <w:tc>
          <w:tcPr>
            <w:tcW w:w="1135" w:type="dxa"/>
            <w:gridSpan w:val="2"/>
            <w:tcBorders>
              <w:bottom w:val="single" w:sz="8" w:space="0" w:color="000000"/>
            </w:tcBorders>
            <w:tcMar>
              <w:bottom w:w="28" w:type="dxa"/>
            </w:tcMar>
            <w:vAlign w:val="center"/>
          </w:tcPr>
          <w:p>
            <w:pPr>
              <w:pStyle w:val="TableContents"/>
              <w:bidi w:val="0"/>
              <w:spacing w:before="0" w:after="283"/>
              <w:jc w:val="left"/>
              <w:rPr/>
            </w:pPr>
            <w:r>
              <w:rPr/>
              <w:t>Fee Paid with Fee Offset Source</w:t>
            </w:r>
          </w:p>
        </w:tc>
      </w:tr>
      <w:tr>
        <w:trPr/>
        <w:tc>
          <w:tcPr>
            <w:tcW w:w="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7"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r>
      <w:tr>
        <w:trPr/>
        <w:tc>
          <w:tcPr>
            <w:tcW w:w="12665" w:type="dxa"/>
            <w:gridSpan w:val="29"/>
            <w:tcBorders/>
            <w:vAlign w:val="center"/>
          </w:tcPr>
          <w:p>
            <w:pPr>
              <w:pStyle w:val="TableContents"/>
              <w:bidi w:val="0"/>
              <w:spacing w:before="0" w:after="283"/>
              <w:jc w:val="center"/>
              <w:rPr>
                <w:i/>
              </w:rPr>
            </w:pPr>
            <w:r>
              <w:rPr>
                <w:i/>
              </w:rPr>
              <w:t>Rules 457(b) and 0-11(a)(2)</w:t>
            </w:r>
          </w:p>
        </w:tc>
      </w:tr>
      <w:tr>
        <w:trPr/>
        <w:tc>
          <w:tcPr>
            <w:tcW w:w="12665" w:type="dxa"/>
            <w:gridSpan w:val="29"/>
            <w:tcBorders/>
            <w:vAlign w:val="center"/>
          </w:tcPr>
          <w:p>
            <w:pPr>
              <w:pStyle w:val="TableContents"/>
              <w:bidi w:val="0"/>
              <w:spacing w:before="0" w:after="283"/>
              <w:jc w:val="center"/>
              <w:rPr>
                <w:i/>
              </w:rPr>
            </w:pPr>
            <w:r>
              <w:rPr>
                <w:i/>
              </w:rPr>
              <w:t>Rule 457(p)</w:t>
            </w:r>
          </w:p>
        </w:tc>
      </w:tr>
      <w:tr>
        <w:trPr/>
        <w:tc>
          <w:tcPr>
            <w:tcW w:w="785" w:type="dxa"/>
            <w:tcBorders/>
            <w:vAlign w:val="center"/>
          </w:tcPr>
          <w:p>
            <w:pPr>
              <w:pStyle w:val="TableContents"/>
              <w:bidi w:val="0"/>
              <w:spacing w:before="0" w:after="283"/>
              <w:jc w:val="left"/>
              <w:rPr/>
            </w:pPr>
            <w:r>
              <w:rPr/>
              <w:t>Fee Offset Claims</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JAKKS Pacific, Inc.</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r>
              <w:rPr/>
              <w:t>(1)</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S-3</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333-266009</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07/01/2022</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2,344.38</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Common Stock, par value $0.001 per share</w:t>
            </w:r>
          </w:p>
        </w:tc>
        <w:tc>
          <w:tcPr>
            <w:tcW w:w="60" w:type="dxa"/>
            <w:tcBorders/>
            <w:vAlign w:val="center"/>
          </w:tcPr>
          <w:p>
            <w:pPr>
              <w:pStyle w:val="TableContents"/>
              <w:bidi w:val="0"/>
              <w:spacing w:before="0" w:after="283"/>
              <w:jc w:val="left"/>
              <w:rPr/>
            </w:pPr>
            <w:r>
              <w:rPr/>
              <w:t> </w:t>
            </w:r>
          </w:p>
        </w:tc>
        <w:tc>
          <w:tcPr>
            <w:tcW w:w="527"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right"/>
              <w:rPr/>
            </w:pPr>
            <w:r>
              <w:rPr/>
              <w:t>25,290,000.00</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5" w:type="dxa"/>
            <w:tcBorders/>
            <w:vAlign w:val="center"/>
          </w:tcPr>
          <w:p>
            <w:pPr>
              <w:pStyle w:val="TableContents"/>
              <w:bidi w:val="0"/>
              <w:spacing w:before="0" w:after="283"/>
              <w:jc w:val="right"/>
              <w:rPr/>
            </w:pPr>
            <w:r>
              <w:rPr/>
              <w:t> </w:t>
            </w:r>
          </w:p>
        </w:tc>
      </w:tr>
      <w:tr>
        <w:trPr/>
        <w:tc>
          <w:tcPr>
            <w:tcW w:w="785" w:type="dxa"/>
            <w:tcBorders/>
            <w:vAlign w:val="center"/>
          </w:tcPr>
          <w:p>
            <w:pPr>
              <w:pStyle w:val="TableContents"/>
              <w:bidi w:val="0"/>
              <w:spacing w:before="0" w:after="283"/>
              <w:jc w:val="left"/>
              <w:rPr/>
            </w:pPr>
            <w:r>
              <w:rPr/>
              <w:t>Fee Offset Claims</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JAKKS Pacific, Inc.</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r>
              <w:rPr/>
              <w:t>(2)</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S-3</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333-267958</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10/20/2022</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11,398.66</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Common Stock, par value $0.001 per share</w:t>
            </w:r>
          </w:p>
        </w:tc>
        <w:tc>
          <w:tcPr>
            <w:tcW w:w="60" w:type="dxa"/>
            <w:tcBorders/>
            <w:vAlign w:val="center"/>
          </w:tcPr>
          <w:p>
            <w:pPr>
              <w:pStyle w:val="TableContents"/>
              <w:bidi w:val="0"/>
              <w:spacing w:before="0" w:after="283"/>
              <w:jc w:val="left"/>
              <w:rPr/>
            </w:pPr>
            <w:r>
              <w:rPr/>
              <w:t> </w:t>
            </w:r>
          </w:p>
        </w:tc>
        <w:tc>
          <w:tcPr>
            <w:tcW w:w="527"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124,710,000.00</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 </w:t>
            </w:r>
          </w:p>
        </w:tc>
      </w:tr>
      <w:tr>
        <w:trPr/>
        <w:tc>
          <w:tcPr>
            <w:tcW w:w="785" w:type="dxa"/>
            <w:tcBorders/>
            <w:vAlign w:val="center"/>
          </w:tcPr>
          <w:p>
            <w:pPr>
              <w:pStyle w:val="TableContents"/>
              <w:bidi w:val="0"/>
              <w:spacing w:before="0" w:after="283"/>
              <w:jc w:val="left"/>
              <w:rPr/>
            </w:pPr>
            <w:r>
              <w:rPr/>
              <w:t>Fee Offset Sources</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JAKKS Pacific, Inc.</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S-3</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333-266009</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07/01/2022</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7"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2,344.38</w:t>
            </w:r>
          </w:p>
        </w:tc>
      </w:tr>
      <w:tr>
        <w:trPr/>
        <w:tc>
          <w:tcPr>
            <w:tcW w:w="785" w:type="dxa"/>
            <w:tcBorders/>
            <w:vAlign w:val="center"/>
          </w:tcPr>
          <w:p>
            <w:pPr>
              <w:pStyle w:val="TableContents"/>
              <w:bidi w:val="0"/>
              <w:spacing w:before="0" w:after="283"/>
              <w:jc w:val="left"/>
              <w:rPr/>
            </w:pPr>
            <w:r>
              <w:rPr/>
              <w:t>Fee Offset Sources</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JAKKS Pacific, Inc.</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S-3</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333-267958</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10/20/2022</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7"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11,398.66</w:t>
            </w:r>
          </w:p>
        </w:tc>
      </w:tr>
      <w:tr>
        <w:trPr/>
        <w:tc>
          <w:tcPr>
            <w:tcW w:w="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7"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r>
    </w:tbl>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Rule 457(p) Statement of Withdrawal, Termination, or Completion:</w:t>
      </w:r>
    </w:p>
    <w:tbl>
      <w:tblPr>
        <w:tblW w:w="10205" w:type="dxa"/>
        <w:jc w:val="left"/>
        <w:tblInd w:w="0" w:type="dxa"/>
        <w:tblLayout w:type="fixed"/>
        <w:tblCellMar>
          <w:top w:w="0" w:type="dxa"/>
          <w:left w:w="0" w:type="dxa"/>
          <w:bottom w:w="0" w:type="dxa"/>
          <w:right w:w="0" w:type="dxa"/>
        </w:tblCellMar>
      </w:tblPr>
      <w:tblGrid>
        <w:gridCol w:w="236"/>
        <w:gridCol w:w="23"/>
        <w:gridCol w:w="9946"/>
      </w:tblGrid>
      <w:tr>
        <w:trPr/>
        <w:tc>
          <w:tcPr>
            <w:tcW w:w="236"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46" w:type="dxa"/>
            <w:tcBorders/>
            <w:vAlign w:val="center"/>
          </w:tcPr>
          <w:p>
            <w:pPr>
              <w:pStyle w:val="TableContents"/>
              <w:bidi w:val="0"/>
              <w:spacing w:before="0" w:after="283"/>
              <w:jc w:val="both"/>
              <w:rPr/>
            </w:pPr>
            <w:r>
              <w:rPr/>
              <w:t>The registrant previously registered the offer, sale, and issuance of shares of Common Stock having an aggregate offering price of up to $25,290,000 pursuant to the Company’s registration statement on Form S-3 (File No. 333-266009) filed on July 1, 2022 (the “July 2022 Registration Statement”) with the Securities and Exchange Commission (“SEC”). In connection with the filing of the July 2022 Registration Statement, the registrant paid filing fees of $2,344.38. As of the date of this registration statement, no shares of Common Stock have been sold under the July 2022 Registration Statement. Pursuant to Rule 457(p) under the Securities Act, the registration fee of $2,344.38 has already been paid and remains unused with respect to securities that were previously registered pursuant to the July 2022 Registration Statement and were not sold thereunder may be applied to the filing fees payable pursuant to this registration statement. The registrant has terminated the offering that included the unsold securities under the July 2022 Registration Statement.</w:t>
            </w:r>
          </w:p>
        </w:tc>
      </w:tr>
    </w:tbl>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Rule 457(p) Statement of Withdrawal, Termination, or Completion:</w:t>
      </w:r>
    </w:p>
    <w:tbl>
      <w:tblPr>
        <w:tblW w:w="10205" w:type="dxa"/>
        <w:jc w:val="left"/>
        <w:tblInd w:w="0" w:type="dxa"/>
        <w:tblLayout w:type="fixed"/>
        <w:tblCellMar>
          <w:top w:w="0" w:type="dxa"/>
          <w:left w:w="0" w:type="dxa"/>
          <w:bottom w:w="0" w:type="dxa"/>
          <w:right w:w="0" w:type="dxa"/>
        </w:tblCellMar>
      </w:tblPr>
      <w:tblGrid>
        <w:gridCol w:w="236"/>
        <w:gridCol w:w="23"/>
        <w:gridCol w:w="9946"/>
      </w:tblGrid>
      <w:tr>
        <w:trPr/>
        <w:tc>
          <w:tcPr>
            <w:tcW w:w="236" w:type="dxa"/>
            <w:tcBorders/>
            <w:vAlign w:val="center"/>
          </w:tcPr>
          <w:p>
            <w:pPr>
              <w:pStyle w:val="TableContents"/>
              <w:bidi w:val="0"/>
              <w:spacing w:before="0" w:after="283"/>
              <w:jc w:val="right"/>
              <w:rPr/>
            </w:pPr>
            <w:r>
              <w:rPr/>
              <w:t>(2)</w:t>
            </w:r>
          </w:p>
        </w:tc>
        <w:tc>
          <w:tcPr>
            <w:tcW w:w="23" w:type="dxa"/>
            <w:tcBorders/>
            <w:vAlign w:val="center"/>
          </w:tcPr>
          <w:p>
            <w:pPr>
              <w:pStyle w:val="TableContents"/>
              <w:bidi w:val="0"/>
              <w:spacing w:before="0" w:after="283"/>
              <w:jc w:val="left"/>
              <w:rPr>
                <w:sz w:val="4"/>
                <w:szCs w:val="4"/>
              </w:rPr>
            </w:pPr>
            <w:r>
              <w:rPr>
                <w:sz w:val="4"/>
                <w:szCs w:val="4"/>
              </w:rPr>
            </w:r>
          </w:p>
        </w:tc>
        <w:tc>
          <w:tcPr>
            <w:tcW w:w="9946" w:type="dxa"/>
            <w:tcBorders/>
            <w:vAlign w:val="center"/>
          </w:tcPr>
          <w:p>
            <w:pPr>
              <w:pStyle w:val="TableContents"/>
              <w:bidi w:val="0"/>
              <w:spacing w:before="0" w:after="283"/>
              <w:jc w:val="both"/>
              <w:rPr/>
            </w:pPr>
            <w:r>
              <w:rPr/>
              <w:t>The registrant previously registered the offer, sale, and issuance of shares of Common Stock having an aggregate offering price of up to $150,000,000 pursuant to the Company’s registration statement on Form S-3 (File No. 333-267958) filed on October 10, 2022 (the “October 2022 Registration Statement”) with the Securities and Exchange Commission (“SEC”). In connection with the filing of the October 2022 Registration Statement, the registrant paid filing fees of $11,398.66. As of the date of this registration statement, no shares of Common Stock have been sold under the October 2022 Registration Statement. Pursuant to Rule 457(p) under the Securities Act, the registration fee of $11,398.66 has already been paid and remains unused with respect to securities that were previously registered pursuant to the October 2022 Registration Statement and were not sold thereunder may be applied to the filing fees payable pursuant to this registration statement. The registrant has terminated the offering that included the unsold securities under the October 2022 Registration Statement.</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009829/000118518526000723/jakk10k123125.htm" TargetMode="External"/><Relationship Id="rId3" Type="http://schemas.openxmlformats.org/officeDocument/2006/relationships/hyperlink" Target="http://www.sec.gov/ix?doc=/Archives/edgar/data/1009829/000118518526001082/jakk8k032626.htm" TargetMode="External"/><Relationship Id="rId4" Type="http://schemas.openxmlformats.org/officeDocument/2006/relationships/hyperlink" Target="http://www.sec.gov/ix?doc=/Archives/edgar/data/1009829/000118518526000629/jakk8k021826.htm" TargetMode="External"/><Relationship Id="rId5" Type="http://schemas.openxmlformats.org/officeDocument/2006/relationships/hyperlink" Target="http://www.sec.gov/ix?doc=/Archives/edgar/data/1009829/000118518526000723/jakk10k123125.htm" TargetMode="External"/><Relationship Id="rId6" Type="http://schemas.openxmlformats.org/officeDocument/2006/relationships/hyperlink" Target="http://www.sec.gov/ix?doc=/Archives/edgar/data/1009829/000118518526001082/jakk8k032626.htm" TargetMode="External"/><Relationship Id="rId7" Type="http://schemas.openxmlformats.org/officeDocument/2006/relationships/hyperlink" Target="http://www.sec.gov/ix?doc=/Archives/edgar/data/1009829/000118518526000629/jakk8k021826.htm" TargetMode="External"/><Relationship Id="rId8" Type="http://schemas.openxmlformats.org/officeDocument/2006/relationships/hyperlink" Target="http://www.sec.gov/Archives/edgar/data/1009829/000118518522001221/ex_437605.htm" TargetMode="External"/><Relationship Id="rId9" Type="http://schemas.openxmlformats.org/officeDocument/2006/relationships/hyperlink" Target="http://www.sec.gov/Archives/edgar/data/1009829/000143774922024415/ex_434218.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31557</Words>
  <Characters>166981</Characters>
  <CharactersWithSpaces>199335</CharactersWithSpaces>
  <Paragraphs>3004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