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SHOGHI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JAKKS PACIFIC,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2951 28TH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JAKKS PACIFIC INC</w:t>
              </w:r>
            </w:hyperlink>
            <w:r>
              <w:rPr/>
              <w:t xml:space="preserve"> [ </w:t>
            </w:r>
            <w:r>
              <w:rPr>
                <w:rFonts w:ascii="Times;serif" w:hAnsi="Times;serif"/>
                <w:color w:val="0000FF"/>
                <w:sz w:val="24"/>
                <w:shd w:fill="FFFFFF" w:val="clear"/>
              </w:rPr>
              <w:t>JAKK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24.44</w:t>
            </w:r>
            <w:r>
              <w:rPr>
                <w:rFonts w:ascii="Times;serif" w:hAnsi="Times;serif"/>
                <w:color w:val="008000"/>
                <w:position w:val="7"/>
                <w:sz w:val="16"/>
                <w:sz w:val="20"/>
                <w:shd w:fill="FFFFFF" w:val="clear"/>
              </w:rPr>
              <w:t>(4)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17,391</w:t>
            </w:r>
            <w:r>
              <w:rPr>
                <w:rFonts w:ascii="Times;serif" w:hAnsi="Times;serif"/>
                <w:color w:val="008000"/>
                <w:position w:val="7"/>
                <w:sz w:val="16"/>
                <w:sz w:val="20"/>
                <w:shd w:fill="FFFFFF" w:val="clear"/>
              </w:rPr>
              <w:t>(5)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3,478</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Vested according to the terms of the RSU described in a previous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Issued under Issuer's 2002 Stock award and Incentive Plan and is subject to the terms of Agreement for Award of Restricted Stock Units between Issuer and Reporting Person. In accordance with such Agreement, securities so issued will have no voting rights and may not be sold, mortgaged, pledged, transferred or otherwise encumbered prior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will vest in 1 installment on the first anniversary of the date of the grant. The Reporting Person must be a member of the Board of Directors for an RSU to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closing price of the Company's common stock for the trading day preceding the date of vest, as reported by NASDAQ.</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Certain of the shares may be restricted from transfer pursuant to the minimum stock ownership provisions adopted by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closing price of the Company's common stock for the trading day preceding the date of grant, as reported by NASDAQ.</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ALEXANDER S. SHOGHI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3166" TargetMode="External"/><Relationship Id="rId5" Type="http://schemas.openxmlformats.org/officeDocument/2006/relationships/hyperlink" Target="http://www.sec.gov/cgi-bin/browse-edgar?action=getcompany&amp;CIK=0001009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4067</Characters>
  <CharactersWithSpaces>4739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